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E2231" w14:textId="5FEBAC8F" w:rsidR="00E50B77" w:rsidRPr="00746BCB" w:rsidRDefault="009528AD" w:rsidP="00E50B77">
      <w:pPr>
        <w:jc w:val="center"/>
        <w:rPr>
          <w:rFonts w:eastAsia="標楷體"/>
          <w:b/>
          <w:sz w:val="32"/>
          <w:szCs w:val="32"/>
        </w:rPr>
      </w:pPr>
      <w:r w:rsidRPr="00746BCB">
        <w:rPr>
          <w:rFonts w:eastAsia="標楷體"/>
          <w:b/>
          <w:sz w:val="32"/>
          <w:szCs w:val="32"/>
        </w:rPr>
        <w:t xml:space="preserve">Rules Governing </w:t>
      </w:r>
      <w:r w:rsidR="0059260D" w:rsidRPr="00746BCB">
        <w:rPr>
          <w:rFonts w:eastAsia="標楷體"/>
          <w:b/>
          <w:sz w:val="32"/>
          <w:szCs w:val="32"/>
        </w:rPr>
        <w:t>NGO</w:t>
      </w:r>
      <w:r w:rsidR="00A05CD4" w:rsidRPr="00746BCB">
        <w:rPr>
          <w:rFonts w:eastAsia="標楷體"/>
          <w:b/>
          <w:sz w:val="32"/>
          <w:szCs w:val="32"/>
        </w:rPr>
        <w:t>s</w:t>
      </w:r>
      <w:r w:rsidR="0059260D" w:rsidRPr="00746BCB">
        <w:rPr>
          <w:rFonts w:eastAsia="標楷體"/>
          <w:b/>
          <w:sz w:val="32"/>
          <w:szCs w:val="32"/>
        </w:rPr>
        <w:t xml:space="preserve"> </w:t>
      </w:r>
      <w:r w:rsidRPr="00746BCB">
        <w:rPr>
          <w:rFonts w:eastAsia="標楷體"/>
          <w:b/>
          <w:sz w:val="32"/>
          <w:szCs w:val="32"/>
        </w:rPr>
        <w:t xml:space="preserve">Entry into and Speaking at the Second </w:t>
      </w:r>
      <w:r w:rsidR="00A2035D" w:rsidRPr="00746BCB">
        <w:rPr>
          <w:rFonts w:eastAsia="標楷體"/>
          <w:b/>
          <w:sz w:val="32"/>
          <w:szCs w:val="32"/>
        </w:rPr>
        <w:t xml:space="preserve">ROC </w:t>
      </w:r>
      <w:r w:rsidRPr="00746BCB">
        <w:rPr>
          <w:rFonts w:eastAsia="標楷體"/>
          <w:b/>
          <w:sz w:val="32"/>
          <w:szCs w:val="32"/>
        </w:rPr>
        <w:t xml:space="preserve">ICCPR &amp; ICESCR </w:t>
      </w:r>
      <w:r w:rsidR="0047020A" w:rsidRPr="00746BCB">
        <w:rPr>
          <w:rFonts w:eastAsia="標楷體" w:hint="eastAsia"/>
          <w:b/>
          <w:sz w:val="32"/>
          <w:szCs w:val="32"/>
        </w:rPr>
        <w:t>N</w:t>
      </w:r>
      <w:r w:rsidR="0059260D" w:rsidRPr="00746BCB">
        <w:rPr>
          <w:rFonts w:eastAsia="標楷體"/>
          <w:b/>
          <w:sz w:val="32"/>
          <w:szCs w:val="32"/>
        </w:rPr>
        <w:t xml:space="preserve">ational </w:t>
      </w:r>
      <w:r w:rsidRPr="00746BCB">
        <w:rPr>
          <w:rFonts w:eastAsia="標楷體"/>
          <w:b/>
          <w:sz w:val="32"/>
          <w:szCs w:val="32"/>
        </w:rPr>
        <w:t>Report Review Meeting</w:t>
      </w:r>
    </w:p>
    <w:p w14:paraId="1B1269ED" w14:textId="3543A377" w:rsidR="00FF1C75" w:rsidRPr="00746BCB" w:rsidRDefault="00FF1C75" w:rsidP="009528AD">
      <w:pPr>
        <w:jc w:val="right"/>
        <w:rPr>
          <w:rFonts w:eastAsia="標楷體"/>
        </w:rPr>
      </w:pPr>
      <w:r w:rsidRPr="00746BCB">
        <w:rPr>
          <w:rFonts w:eastAsia="標楷體"/>
        </w:rPr>
        <w:t xml:space="preserve">   </w:t>
      </w:r>
      <w:r w:rsidR="009528AD" w:rsidRPr="00746BCB">
        <w:rPr>
          <w:rFonts w:eastAsia="標楷體"/>
        </w:rPr>
        <w:t xml:space="preserve">                          Approved at the meeting of the Secretariat Steering Group for the Second </w:t>
      </w:r>
      <w:r w:rsidR="00A2035D" w:rsidRPr="00746BCB">
        <w:rPr>
          <w:rFonts w:eastAsia="標楷體"/>
        </w:rPr>
        <w:t xml:space="preserve">ROC </w:t>
      </w:r>
      <w:r w:rsidR="009528AD" w:rsidRPr="00746BCB">
        <w:rPr>
          <w:rFonts w:eastAsia="標楷體"/>
        </w:rPr>
        <w:t>ICCPR &amp; ICESCR Report Review Meeting</w:t>
      </w:r>
    </w:p>
    <w:p w14:paraId="2C765E73" w14:textId="01F7A206" w:rsidR="00E50B77" w:rsidRPr="00746BCB" w:rsidRDefault="009528AD" w:rsidP="00E50B77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746BCB">
        <w:rPr>
          <w:rFonts w:eastAsia="標楷體"/>
          <w:sz w:val="28"/>
          <w:szCs w:val="28"/>
        </w:rPr>
        <w:t xml:space="preserve">These Rules are formulated to facilitate the Second </w:t>
      </w:r>
      <w:r w:rsidR="00A2035D" w:rsidRPr="00746BCB">
        <w:rPr>
          <w:rFonts w:eastAsia="標楷體"/>
          <w:sz w:val="28"/>
          <w:szCs w:val="28"/>
        </w:rPr>
        <w:t xml:space="preserve">ROC </w:t>
      </w:r>
      <w:r w:rsidRPr="00746BCB">
        <w:rPr>
          <w:rFonts w:eastAsia="標楷體"/>
          <w:sz w:val="28"/>
          <w:szCs w:val="28"/>
        </w:rPr>
        <w:t xml:space="preserve">ICCPR &amp; ICESCR </w:t>
      </w:r>
      <w:r w:rsidR="0047020A" w:rsidRPr="00746BCB">
        <w:rPr>
          <w:rFonts w:eastAsia="標楷體" w:hint="eastAsia"/>
          <w:sz w:val="28"/>
          <w:szCs w:val="28"/>
        </w:rPr>
        <w:t>N</w:t>
      </w:r>
      <w:r w:rsidR="0059260D" w:rsidRPr="00746BCB">
        <w:rPr>
          <w:rFonts w:eastAsia="標楷體"/>
          <w:sz w:val="28"/>
          <w:szCs w:val="28"/>
        </w:rPr>
        <w:t xml:space="preserve">ational </w:t>
      </w:r>
      <w:r w:rsidRPr="00746BCB">
        <w:rPr>
          <w:rFonts w:eastAsia="標楷體"/>
          <w:sz w:val="28"/>
          <w:szCs w:val="28"/>
        </w:rPr>
        <w:t>Report Review Meeting (hereinafter referred to as the "Meeting").</w:t>
      </w:r>
    </w:p>
    <w:p w14:paraId="541221D7" w14:textId="77777777" w:rsidR="009528AD" w:rsidRPr="00746BCB" w:rsidRDefault="009528AD" w:rsidP="00E50B77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746BCB">
        <w:rPr>
          <w:rFonts w:eastAsia="標楷體"/>
          <w:sz w:val="28"/>
          <w:szCs w:val="28"/>
        </w:rPr>
        <w:t>These Rules apply to the Meeting unless otherwise instructed by the Chairperson.</w:t>
      </w:r>
    </w:p>
    <w:p w14:paraId="56A91A8F" w14:textId="77777777" w:rsidR="00E50B77" w:rsidRPr="00746BCB" w:rsidRDefault="009528AD" w:rsidP="00E50B77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746BCB">
        <w:rPr>
          <w:rFonts w:eastAsia="標楷體"/>
          <w:sz w:val="28"/>
          <w:szCs w:val="28"/>
        </w:rPr>
        <w:t>Anyone wishing to enter any of the Meeting venues must wear a valid entry badge. Entry will not be granted without a badge.</w:t>
      </w:r>
    </w:p>
    <w:p w14:paraId="306CB78B" w14:textId="2C5887F8" w:rsidR="00E50B77" w:rsidRPr="00746BCB" w:rsidRDefault="0047020A" w:rsidP="00E50B77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746BCB">
        <w:rPr>
          <w:rFonts w:eastAsia="標楷體" w:hint="eastAsia"/>
          <w:sz w:val="28"/>
          <w:szCs w:val="28"/>
        </w:rPr>
        <w:t>To show</w:t>
      </w:r>
      <w:r w:rsidRPr="00746BCB">
        <w:rPr>
          <w:rFonts w:eastAsia="標楷體"/>
          <w:sz w:val="28"/>
          <w:szCs w:val="28"/>
        </w:rPr>
        <w:t xml:space="preserve"> respect </w:t>
      </w:r>
      <w:r w:rsidRPr="00746BCB">
        <w:rPr>
          <w:rFonts w:eastAsia="標楷體" w:hint="eastAsia"/>
          <w:sz w:val="28"/>
          <w:szCs w:val="28"/>
        </w:rPr>
        <w:t>for</w:t>
      </w:r>
      <w:r w:rsidR="009528AD" w:rsidRPr="00746BCB">
        <w:rPr>
          <w:rFonts w:eastAsia="標楷體"/>
          <w:sz w:val="28"/>
          <w:szCs w:val="28"/>
        </w:rPr>
        <w:t xml:space="preserve"> the International Review Committee </w:t>
      </w:r>
      <w:r w:rsidRPr="00746BCB">
        <w:rPr>
          <w:rFonts w:eastAsia="標楷體"/>
          <w:sz w:val="28"/>
          <w:szCs w:val="28"/>
        </w:rPr>
        <w:t>and the committee members and</w:t>
      </w:r>
      <w:r w:rsidR="009528AD" w:rsidRPr="00746BCB">
        <w:rPr>
          <w:rFonts w:eastAsia="標楷體"/>
          <w:sz w:val="28"/>
          <w:szCs w:val="28"/>
        </w:rPr>
        <w:t xml:space="preserve"> maintain order on site, please refrain from bringing any protest banners, signage or posters into the venues.</w:t>
      </w:r>
    </w:p>
    <w:p w14:paraId="55CA0FEF" w14:textId="67638AF6" w:rsidR="00E50B77" w:rsidRPr="00746BCB" w:rsidRDefault="009528AD" w:rsidP="00E50B77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746BCB">
        <w:rPr>
          <w:rFonts w:eastAsia="標楷體"/>
          <w:sz w:val="28"/>
          <w:szCs w:val="28"/>
        </w:rPr>
        <w:t>The Meeting is to be con</w:t>
      </w:r>
      <w:r w:rsidR="00990BF8" w:rsidRPr="00746BCB">
        <w:rPr>
          <w:rFonts w:eastAsia="標楷體"/>
          <w:sz w:val="28"/>
          <w:szCs w:val="28"/>
        </w:rPr>
        <w:t>ducted according to the agenda;</w:t>
      </w:r>
      <w:r w:rsidR="00990BF8" w:rsidRPr="00746BCB">
        <w:rPr>
          <w:rFonts w:eastAsia="標楷體" w:hint="eastAsia"/>
          <w:sz w:val="28"/>
          <w:szCs w:val="28"/>
        </w:rPr>
        <w:t xml:space="preserve"> </w:t>
      </w:r>
      <w:r w:rsidRPr="00746BCB">
        <w:rPr>
          <w:rFonts w:eastAsia="標楷體"/>
          <w:sz w:val="28"/>
          <w:szCs w:val="28"/>
        </w:rPr>
        <w:t>the Chairperson may make modifications thereto where necessary.</w:t>
      </w:r>
    </w:p>
    <w:p w14:paraId="43D225C1" w14:textId="60FDDE43" w:rsidR="00E50B77" w:rsidRPr="00746BCB" w:rsidRDefault="006A61D6" w:rsidP="00093DAF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746BCB">
        <w:rPr>
          <w:rFonts w:eastAsia="標楷體"/>
          <w:sz w:val="28"/>
          <w:szCs w:val="28"/>
        </w:rPr>
        <w:t>International Review for the</w:t>
      </w:r>
      <w:r w:rsidR="0059260D" w:rsidRPr="00746BCB">
        <w:rPr>
          <w:rFonts w:eastAsia="標楷體"/>
          <w:sz w:val="28"/>
          <w:szCs w:val="28"/>
        </w:rPr>
        <w:t xml:space="preserve"> Second ICCPR </w:t>
      </w:r>
      <w:r w:rsidRPr="00746BCB">
        <w:rPr>
          <w:rFonts w:eastAsia="標楷體"/>
          <w:sz w:val="28"/>
          <w:szCs w:val="28"/>
        </w:rPr>
        <w:t>Report and for the</w:t>
      </w:r>
      <w:r w:rsidR="0059260D" w:rsidRPr="00746BCB">
        <w:rPr>
          <w:rFonts w:eastAsia="標楷體"/>
          <w:sz w:val="28"/>
          <w:szCs w:val="28"/>
        </w:rPr>
        <w:t xml:space="preserve"> ICESCR Report </w:t>
      </w:r>
      <w:r w:rsidRPr="00746BCB">
        <w:rPr>
          <w:rFonts w:eastAsia="標楷體"/>
          <w:sz w:val="28"/>
          <w:szCs w:val="28"/>
        </w:rPr>
        <w:t>each</w:t>
      </w:r>
      <w:r w:rsidR="0059260D" w:rsidRPr="00746BCB">
        <w:rPr>
          <w:rFonts w:eastAsia="標楷體"/>
          <w:sz w:val="28"/>
          <w:szCs w:val="28"/>
        </w:rPr>
        <w:t xml:space="preserve"> </w:t>
      </w:r>
      <w:r w:rsidRPr="00746BCB">
        <w:rPr>
          <w:rFonts w:eastAsia="標楷體"/>
          <w:sz w:val="28"/>
          <w:szCs w:val="28"/>
        </w:rPr>
        <w:t>comprises</w:t>
      </w:r>
      <w:r w:rsidR="0059260D" w:rsidRPr="00746BCB">
        <w:rPr>
          <w:rFonts w:eastAsia="標楷體"/>
          <w:sz w:val="28"/>
          <w:szCs w:val="28"/>
        </w:rPr>
        <w:t xml:space="preserve"> the "National Report Review Session (Government Session)" and "Dialogue with NGOs (NGO Session)":</w:t>
      </w:r>
    </w:p>
    <w:p w14:paraId="6FFF4676" w14:textId="77777777" w:rsidR="00E50B77" w:rsidRPr="00746BCB" w:rsidRDefault="0059260D" w:rsidP="00E50B77">
      <w:pPr>
        <w:numPr>
          <w:ilvl w:val="0"/>
          <w:numId w:val="2"/>
        </w:numPr>
        <w:jc w:val="both"/>
        <w:rPr>
          <w:rFonts w:eastAsia="標楷體"/>
          <w:sz w:val="28"/>
          <w:szCs w:val="28"/>
        </w:rPr>
      </w:pPr>
      <w:r w:rsidRPr="00746BCB">
        <w:rPr>
          <w:rFonts w:eastAsia="標楷體"/>
          <w:sz w:val="28"/>
          <w:szCs w:val="28"/>
        </w:rPr>
        <w:t>National Report Review Session (Government Session):</w:t>
      </w:r>
    </w:p>
    <w:p w14:paraId="2F3F058B" w14:textId="77777777" w:rsidR="00E50B77" w:rsidRPr="00746BCB" w:rsidRDefault="00E50B77" w:rsidP="00E50B77">
      <w:pPr>
        <w:ind w:left="1440"/>
        <w:jc w:val="both"/>
        <w:rPr>
          <w:rFonts w:eastAsia="標楷體"/>
          <w:sz w:val="28"/>
          <w:szCs w:val="28"/>
        </w:rPr>
      </w:pPr>
      <w:r w:rsidRPr="00746BCB">
        <w:rPr>
          <w:rFonts w:eastAsia="標楷體"/>
          <w:sz w:val="28"/>
          <w:szCs w:val="28"/>
        </w:rPr>
        <w:t>1.</w:t>
      </w:r>
      <w:r w:rsidR="0059260D" w:rsidRPr="00746BCB">
        <w:rPr>
          <w:rFonts w:eastAsia="標楷體"/>
          <w:sz w:val="28"/>
          <w:szCs w:val="28"/>
        </w:rPr>
        <w:t xml:space="preserve"> NGOs may observe but may not speak at this session.</w:t>
      </w:r>
    </w:p>
    <w:p w14:paraId="1FC475E5" w14:textId="075C8DA5" w:rsidR="00E50B77" w:rsidRPr="00746BCB" w:rsidRDefault="00E50B77" w:rsidP="00E50B77">
      <w:pPr>
        <w:ind w:left="1680" w:hangingChars="600" w:hanging="1680"/>
        <w:jc w:val="both"/>
        <w:rPr>
          <w:rFonts w:eastAsia="標楷體"/>
          <w:sz w:val="28"/>
          <w:szCs w:val="28"/>
        </w:rPr>
      </w:pPr>
      <w:r w:rsidRPr="00746BCB">
        <w:rPr>
          <w:rFonts w:eastAsia="標楷體"/>
          <w:sz w:val="28"/>
          <w:szCs w:val="28"/>
        </w:rPr>
        <w:t xml:space="preserve">          2.</w:t>
      </w:r>
      <w:r w:rsidR="0059260D" w:rsidRPr="00746BCB">
        <w:rPr>
          <w:rFonts w:eastAsia="標楷體"/>
          <w:sz w:val="28"/>
          <w:szCs w:val="28"/>
        </w:rPr>
        <w:t xml:space="preserve"> 40 seats are allotted for NGO representatives to enter and observe this session, with only 1 representative allotted </w:t>
      </w:r>
      <w:r w:rsidR="006A61D6" w:rsidRPr="00746BCB">
        <w:rPr>
          <w:rFonts w:eastAsia="標楷體"/>
          <w:sz w:val="28"/>
          <w:szCs w:val="28"/>
        </w:rPr>
        <w:t>per</w:t>
      </w:r>
      <w:r w:rsidR="0059260D" w:rsidRPr="00746BCB">
        <w:rPr>
          <w:rFonts w:eastAsia="標楷體"/>
          <w:sz w:val="28"/>
          <w:szCs w:val="28"/>
        </w:rPr>
        <w:t xml:space="preserve"> organization.</w:t>
      </w:r>
      <w:r w:rsidR="00A05CD4" w:rsidRPr="00746BCB">
        <w:rPr>
          <w:rFonts w:eastAsia="標楷體"/>
          <w:sz w:val="28"/>
          <w:szCs w:val="28"/>
        </w:rPr>
        <w:t xml:space="preserve"> To submit their application, NGOs should refer the "</w:t>
      </w:r>
      <w:r w:rsidR="00F212CD" w:rsidRPr="00746BCB">
        <w:rPr>
          <w:rFonts w:eastAsia="標楷體"/>
          <w:sz w:val="28"/>
          <w:szCs w:val="28"/>
        </w:rPr>
        <w:t>Guidelines</w:t>
      </w:r>
      <w:r w:rsidR="00A05CD4" w:rsidRPr="00746BCB">
        <w:rPr>
          <w:rFonts w:eastAsia="標楷體"/>
          <w:sz w:val="28"/>
          <w:szCs w:val="28"/>
        </w:rPr>
        <w:t xml:space="preserve"> for NGOs </w:t>
      </w:r>
      <w:r w:rsidR="00A704F8" w:rsidRPr="00746BCB">
        <w:rPr>
          <w:rFonts w:eastAsia="標楷體"/>
          <w:sz w:val="28"/>
          <w:szCs w:val="28"/>
        </w:rPr>
        <w:t>Applying</w:t>
      </w:r>
      <w:r w:rsidR="00E029C9" w:rsidRPr="00746BCB">
        <w:rPr>
          <w:rFonts w:eastAsia="標楷體"/>
          <w:sz w:val="28"/>
          <w:szCs w:val="28"/>
        </w:rPr>
        <w:t xml:space="preserve"> to Participate in</w:t>
      </w:r>
      <w:r w:rsidR="00A05CD4" w:rsidRPr="00746BCB">
        <w:rPr>
          <w:rFonts w:eastAsia="標楷體"/>
          <w:sz w:val="28"/>
          <w:szCs w:val="28"/>
        </w:rPr>
        <w:t xml:space="preserve"> the Second</w:t>
      </w:r>
      <w:r w:rsidR="00A704F8" w:rsidRPr="00746BCB">
        <w:rPr>
          <w:rFonts w:eastAsia="標楷體"/>
          <w:sz w:val="28"/>
          <w:szCs w:val="28"/>
        </w:rPr>
        <w:t xml:space="preserve"> ROC</w:t>
      </w:r>
      <w:r w:rsidR="0047020A" w:rsidRPr="00746BCB">
        <w:rPr>
          <w:rFonts w:eastAsia="標楷體"/>
          <w:sz w:val="28"/>
          <w:szCs w:val="28"/>
        </w:rPr>
        <w:t xml:space="preserve"> ICCPR &amp; ICESCR </w:t>
      </w:r>
      <w:r w:rsidR="0047020A" w:rsidRPr="00746BCB">
        <w:rPr>
          <w:rFonts w:eastAsia="標楷體" w:hint="eastAsia"/>
          <w:sz w:val="28"/>
          <w:szCs w:val="28"/>
        </w:rPr>
        <w:t>N</w:t>
      </w:r>
      <w:r w:rsidR="00A05CD4" w:rsidRPr="00746BCB">
        <w:rPr>
          <w:rFonts w:eastAsia="標楷體"/>
          <w:sz w:val="28"/>
          <w:szCs w:val="28"/>
        </w:rPr>
        <w:t>ational Report Review Meeting</w:t>
      </w:r>
      <w:r w:rsidR="0060719C" w:rsidRPr="00746BCB">
        <w:rPr>
          <w:rFonts w:eastAsia="標楷體"/>
          <w:sz w:val="28"/>
          <w:szCs w:val="28"/>
        </w:rPr>
        <w:t>".</w:t>
      </w:r>
    </w:p>
    <w:p w14:paraId="4EEBA835" w14:textId="6D182664" w:rsidR="00E50B77" w:rsidRPr="00746BCB" w:rsidRDefault="0059260D" w:rsidP="00E50B77">
      <w:pPr>
        <w:numPr>
          <w:ilvl w:val="0"/>
          <w:numId w:val="2"/>
        </w:numPr>
        <w:jc w:val="both"/>
        <w:rPr>
          <w:rFonts w:eastAsia="標楷體"/>
          <w:sz w:val="28"/>
          <w:szCs w:val="28"/>
        </w:rPr>
      </w:pPr>
      <w:r w:rsidRPr="00746BCB">
        <w:rPr>
          <w:rFonts w:eastAsia="標楷體"/>
          <w:sz w:val="28"/>
          <w:szCs w:val="28"/>
        </w:rPr>
        <w:t>D</w:t>
      </w:r>
      <w:r w:rsidR="006A61D6" w:rsidRPr="00746BCB">
        <w:rPr>
          <w:rFonts w:eastAsia="標楷體"/>
          <w:sz w:val="28"/>
          <w:szCs w:val="28"/>
        </w:rPr>
        <w:t>ialogue with NGOs (NGO Session)</w:t>
      </w:r>
      <w:bookmarkStart w:id="0" w:name="_GoBack"/>
      <w:bookmarkEnd w:id="0"/>
    </w:p>
    <w:p w14:paraId="249EFEB1" w14:textId="77777777" w:rsidR="0060719C" w:rsidRPr="00746BCB" w:rsidRDefault="0060719C" w:rsidP="00E50B77">
      <w:pPr>
        <w:numPr>
          <w:ilvl w:val="0"/>
          <w:numId w:val="3"/>
        </w:numPr>
        <w:jc w:val="both"/>
        <w:rPr>
          <w:rFonts w:eastAsia="標楷體"/>
          <w:sz w:val="28"/>
          <w:szCs w:val="28"/>
        </w:rPr>
      </w:pPr>
      <w:r w:rsidRPr="00746BCB">
        <w:rPr>
          <w:rFonts w:eastAsia="標楷體"/>
          <w:sz w:val="28"/>
          <w:szCs w:val="28"/>
        </w:rPr>
        <w:t>NGOs may enter into the venue and speak at this session.</w:t>
      </w:r>
    </w:p>
    <w:p w14:paraId="54D16EBB" w14:textId="105A80C1" w:rsidR="00E50B77" w:rsidRPr="00746BCB" w:rsidRDefault="0060719C" w:rsidP="00E50B77">
      <w:pPr>
        <w:numPr>
          <w:ilvl w:val="0"/>
          <w:numId w:val="3"/>
        </w:numPr>
        <w:jc w:val="both"/>
        <w:rPr>
          <w:rFonts w:eastAsia="標楷體"/>
          <w:sz w:val="28"/>
          <w:szCs w:val="28"/>
        </w:rPr>
      </w:pPr>
      <w:r w:rsidRPr="00746BCB">
        <w:rPr>
          <w:rFonts w:eastAsia="標楷體"/>
          <w:sz w:val="28"/>
          <w:szCs w:val="28"/>
        </w:rPr>
        <w:t xml:space="preserve">To submit their application, NGOs should refer the </w:t>
      </w:r>
      <w:r w:rsidR="00A704F8" w:rsidRPr="00746BCB">
        <w:rPr>
          <w:rFonts w:eastAsia="標楷體"/>
          <w:sz w:val="28"/>
          <w:szCs w:val="28"/>
        </w:rPr>
        <w:t xml:space="preserve">"Guidelines for NGOs Applying to Participate in the </w:t>
      </w:r>
      <w:r w:rsidR="0047020A" w:rsidRPr="00746BCB">
        <w:rPr>
          <w:rFonts w:eastAsia="標楷體"/>
          <w:sz w:val="28"/>
          <w:szCs w:val="28"/>
        </w:rPr>
        <w:t xml:space="preserve">Second ROC ICCPR &amp; ICESCR </w:t>
      </w:r>
      <w:r w:rsidR="0047020A" w:rsidRPr="00746BCB">
        <w:rPr>
          <w:rFonts w:eastAsia="標楷體" w:hint="eastAsia"/>
          <w:sz w:val="28"/>
          <w:szCs w:val="28"/>
        </w:rPr>
        <w:t>N</w:t>
      </w:r>
      <w:r w:rsidR="00A704F8" w:rsidRPr="00746BCB">
        <w:rPr>
          <w:rFonts w:eastAsia="標楷體"/>
          <w:sz w:val="28"/>
          <w:szCs w:val="28"/>
        </w:rPr>
        <w:t>ational Report Review Meeting</w:t>
      </w:r>
      <w:r w:rsidR="006A61D6" w:rsidRPr="00746BCB">
        <w:rPr>
          <w:rFonts w:eastAsia="標楷體"/>
          <w:sz w:val="28"/>
          <w:szCs w:val="28"/>
        </w:rPr>
        <w:t>". T</w:t>
      </w:r>
      <w:r w:rsidRPr="00746BCB">
        <w:rPr>
          <w:rFonts w:eastAsia="標楷體"/>
          <w:sz w:val="28"/>
          <w:szCs w:val="28"/>
        </w:rPr>
        <w:t xml:space="preserve">hey shall also speak according to the </w:t>
      </w:r>
      <w:r w:rsidR="00B24D7C" w:rsidRPr="00746BCB">
        <w:rPr>
          <w:rFonts w:eastAsia="標楷體"/>
          <w:sz w:val="28"/>
          <w:szCs w:val="28"/>
        </w:rPr>
        <w:t>order</w:t>
      </w:r>
      <w:r w:rsidRPr="00746BCB">
        <w:rPr>
          <w:rFonts w:eastAsia="標楷體"/>
          <w:sz w:val="28"/>
          <w:szCs w:val="28"/>
        </w:rPr>
        <w:t xml:space="preserve"> published by the Secretariat.</w:t>
      </w:r>
    </w:p>
    <w:p w14:paraId="0191DD6B" w14:textId="57A57B8F" w:rsidR="00E50B77" w:rsidRPr="00746BCB" w:rsidRDefault="0060719C" w:rsidP="00E50B77">
      <w:pPr>
        <w:numPr>
          <w:ilvl w:val="0"/>
          <w:numId w:val="3"/>
        </w:numPr>
        <w:jc w:val="both"/>
        <w:rPr>
          <w:rFonts w:eastAsia="標楷體"/>
          <w:sz w:val="28"/>
          <w:szCs w:val="28"/>
        </w:rPr>
      </w:pPr>
      <w:r w:rsidRPr="00746BCB">
        <w:rPr>
          <w:rFonts w:eastAsia="標楷體"/>
          <w:sz w:val="28"/>
          <w:szCs w:val="28"/>
        </w:rPr>
        <w:lastRenderedPageBreak/>
        <w:t xml:space="preserve">Every organization may send maximum 3 persons to attend the session. At least 1 seat is reserved for each organization. In case there is insufficient seating, the other representatives from the same organization are asked to move into the Simulcast Room. </w:t>
      </w:r>
    </w:p>
    <w:p w14:paraId="53E81169" w14:textId="406F0F12" w:rsidR="00E50B77" w:rsidRPr="00746BCB" w:rsidRDefault="0060719C" w:rsidP="00E50B77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746BCB">
        <w:rPr>
          <w:rFonts w:eastAsia="標楷體"/>
          <w:sz w:val="28"/>
          <w:szCs w:val="28"/>
        </w:rPr>
        <w:t>Due to limited time for NGOs to dialogue with members of the International Review Committee, each organization is limited to 1 chance to speak unless otherwise agreed by the Chairperson.</w:t>
      </w:r>
    </w:p>
    <w:p w14:paraId="08F0C430" w14:textId="22B4E786" w:rsidR="00E50B77" w:rsidRPr="00746BCB" w:rsidRDefault="0060719C" w:rsidP="00E50B77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746BCB">
        <w:rPr>
          <w:rFonts w:eastAsia="標楷體"/>
          <w:sz w:val="28"/>
          <w:szCs w:val="28"/>
        </w:rPr>
        <w:t>Every organization may only assign 1 representative to speak; the time limit is 3 minutes; a ring will be sounded 30 sec</w:t>
      </w:r>
      <w:r w:rsidR="006A61D6" w:rsidRPr="00746BCB">
        <w:rPr>
          <w:rFonts w:eastAsia="標楷體"/>
          <w:sz w:val="28"/>
          <w:szCs w:val="28"/>
        </w:rPr>
        <w:t>onds</w:t>
      </w:r>
      <w:r w:rsidRPr="00746BCB">
        <w:rPr>
          <w:rFonts w:eastAsia="標楷體"/>
          <w:sz w:val="28"/>
          <w:szCs w:val="28"/>
        </w:rPr>
        <w:t xml:space="preserve"> before time is up to remind the speaker to wrap up; two rings will be sounded when time is up, at which point the speaker should immediately stop; the microphone will also be silenced at the same time.</w:t>
      </w:r>
    </w:p>
    <w:p w14:paraId="17A3189E" w14:textId="7BFD8EAA" w:rsidR="000B1781" w:rsidRPr="00746BCB" w:rsidRDefault="0060719C" w:rsidP="00E50B77">
      <w:pPr>
        <w:numPr>
          <w:ilvl w:val="0"/>
          <w:numId w:val="1"/>
        </w:numPr>
        <w:jc w:val="both"/>
        <w:rPr>
          <w:rFonts w:eastAsia="標楷體"/>
          <w:sz w:val="28"/>
          <w:szCs w:val="28"/>
        </w:rPr>
      </w:pPr>
      <w:r w:rsidRPr="00746BCB">
        <w:rPr>
          <w:rFonts w:eastAsia="標楷體"/>
          <w:sz w:val="28"/>
          <w:szCs w:val="28"/>
        </w:rPr>
        <w:t>NGOs failing to comply with the Rules may have their permission to enter or speak at the pertaining session or subsequent review meeting</w:t>
      </w:r>
      <w:r w:rsidR="006A61D6" w:rsidRPr="00746BCB">
        <w:rPr>
          <w:rFonts w:eastAsia="標楷體"/>
          <w:sz w:val="28"/>
          <w:szCs w:val="28"/>
        </w:rPr>
        <w:t>s</w:t>
      </w:r>
      <w:r w:rsidRPr="00746BCB">
        <w:rPr>
          <w:rFonts w:eastAsia="標楷體"/>
          <w:sz w:val="28"/>
          <w:szCs w:val="28"/>
        </w:rPr>
        <w:t xml:space="preserve"> </w:t>
      </w:r>
      <w:r w:rsidR="004B27D0" w:rsidRPr="00746BCB">
        <w:rPr>
          <w:rFonts w:eastAsia="標楷體"/>
          <w:sz w:val="28"/>
          <w:szCs w:val="28"/>
        </w:rPr>
        <w:t>annulled</w:t>
      </w:r>
      <w:r w:rsidRPr="00746BCB">
        <w:rPr>
          <w:rFonts w:eastAsia="標楷體"/>
          <w:sz w:val="28"/>
          <w:szCs w:val="28"/>
        </w:rPr>
        <w:t xml:space="preserve"> </w:t>
      </w:r>
      <w:r w:rsidR="004B27D0" w:rsidRPr="00746BCB">
        <w:rPr>
          <w:rFonts w:eastAsia="標楷體"/>
          <w:sz w:val="28"/>
          <w:szCs w:val="28"/>
        </w:rPr>
        <w:t>by the Secretariat as justified by the situation.</w:t>
      </w:r>
    </w:p>
    <w:p w14:paraId="66F41B32" w14:textId="77777777" w:rsidR="00DD2C29" w:rsidRPr="00746BCB" w:rsidRDefault="00DD2C29" w:rsidP="00E50B77"/>
    <w:sectPr w:rsidR="00DD2C29" w:rsidRPr="00746BC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475CD2" w14:textId="77777777" w:rsidR="00BB18B7" w:rsidRDefault="00BB18B7" w:rsidP="00093DAF">
      <w:r>
        <w:separator/>
      </w:r>
    </w:p>
  </w:endnote>
  <w:endnote w:type="continuationSeparator" w:id="0">
    <w:p w14:paraId="44A5C089" w14:textId="77777777" w:rsidR="00BB18B7" w:rsidRDefault="00BB18B7" w:rsidP="00093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253674"/>
      <w:docPartObj>
        <w:docPartGallery w:val="Page Numbers (Bottom of Page)"/>
        <w:docPartUnique/>
      </w:docPartObj>
    </w:sdtPr>
    <w:sdtEndPr/>
    <w:sdtContent>
      <w:p w14:paraId="3D1FBF4F" w14:textId="77777777" w:rsidR="00B24D7C" w:rsidRDefault="00B24D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8B7" w:rsidRPr="00BB18B7">
          <w:rPr>
            <w:noProof/>
            <w:lang w:val="zh-TW"/>
          </w:rPr>
          <w:t>1</w:t>
        </w:r>
        <w:r>
          <w:fldChar w:fldCharType="end"/>
        </w:r>
      </w:p>
    </w:sdtContent>
  </w:sdt>
  <w:p w14:paraId="05FB0C20" w14:textId="77777777" w:rsidR="00B24D7C" w:rsidRDefault="00B24D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6E086" w14:textId="77777777" w:rsidR="00BB18B7" w:rsidRDefault="00BB18B7" w:rsidP="00093DAF">
      <w:r>
        <w:separator/>
      </w:r>
    </w:p>
  </w:footnote>
  <w:footnote w:type="continuationSeparator" w:id="0">
    <w:p w14:paraId="69ECCB62" w14:textId="77777777" w:rsidR="00BB18B7" w:rsidRDefault="00BB18B7" w:rsidP="00093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9CD"/>
    <w:multiLevelType w:val="hybridMultilevel"/>
    <w:tmpl w:val="166C8F48"/>
    <w:lvl w:ilvl="0" w:tplc="5710984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lang w:val="en-US"/>
      </w:rPr>
    </w:lvl>
    <w:lvl w:ilvl="1" w:tplc="FB2A4358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A0319F4"/>
    <w:multiLevelType w:val="hybridMultilevel"/>
    <w:tmpl w:val="47AE6A1A"/>
    <w:lvl w:ilvl="0" w:tplc="04090013">
      <w:start w:val="1"/>
      <w:numFmt w:val="upperRoman"/>
      <w:lvlText w:val="%1."/>
      <w:lvlJc w:val="right"/>
      <w:pPr>
        <w:ind w:left="180" w:hanging="180"/>
      </w:pPr>
    </w:lvl>
    <w:lvl w:ilvl="1" w:tplc="CF8832CC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2B527F"/>
    <w:multiLevelType w:val="hybridMultilevel"/>
    <w:tmpl w:val="236A0444"/>
    <w:lvl w:ilvl="0" w:tplc="A8EE2F9C">
      <w:start w:val="1"/>
      <w:numFmt w:val="decimal"/>
      <w:lvlText w:val="%1."/>
      <w:lvlJc w:val="left"/>
      <w:pPr>
        <w:ind w:left="21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12" w:hanging="480"/>
      </w:pPr>
    </w:lvl>
    <w:lvl w:ilvl="2" w:tplc="0409001B" w:tentative="1">
      <w:start w:val="1"/>
      <w:numFmt w:val="lowerRoman"/>
      <w:lvlText w:val="%3."/>
      <w:lvlJc w:val="right"/>
      <w:pPr>
        <w:ind w:left="3092" w:hanging="480"/>
      </w:pPr>
    </w:lvl>
    <w:lvl w:ilvl="3" w:tplc="0409000F" w:tentative="1">
      <w:start w:val="1"/>
      <w:numFmt w:val="decimal"/>
      <w:lvlText w:val="%4."/>
      <w:lvlJc w:val="left"/>
      <w:pPr>
        <w:ind w:left="35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52" w:hanging="480"/>
      </w:pPr>
    </w:lvl>
    <w:lvl w:ilvl="5" w:tplc="0409001B" w:tentative="1">
      <w:start w:val="1"/>
      <w:numFmt w:val="lowerRoman"/>
      <w:lvlText w:val="%6."/>
      <w:lvlJc w:val="right"/>
      <w:pPr>
        <w:ind w:left="4532" w:hanging="480"/>
      </w:pPr>
    </w:lvl>
    <w:lvl w:ilvl="6" w:tplc="0409000F" w:tentative="1">
      <w:start w:val="1"/>
      <w:numFmt w:val="decimal"/>
      <w:lvlText w:val="%7."/>
      <w:lvlJc w:val="left"/>
      <w:pPr>
        <w:ind w:left="50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92" w:hanging="480"/>
      </w:pPr>
    </w:lvl>
    <w:lvl w:ilvl="8" w:tplc="0409001B" w:tentative="1">
      <w:start w:val="1"/>
      <w:numFmt w:val="lowerRoman"/>
      <w:lvlText w:val="%9."/>
      <w:lvlJc w:val="right"/>
      <w:pPr>
        <w:ind w:left="5972" w:hanging="480"/>
      </w:pPr>
    </w:lvl>
  </w:abstractNum>
  <w:abstractNum w:abstractNumId="3">
    <w:nsid w:val="398607DC"/>
    <w:multiLevelType w:val="multilevel"/>
    <w:tmpl w:val="2028F142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D6E6ACC"/>
    <w:multiLevelType w:val="hybridMultilevel"/>
    <w:tmpl w:val="C352D4A0"/>
    <w:lvl w:ilvl="0" w:tplc="2C0424B4">
      <w:start w:val="1"/>
      <w:numFmt w:val="decimal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F8928D1"/>
    <w:multiLevelType w:val="multilevel"/>
    <w:tmpl w:val="DE5E6C26"/>
    <w:lvl w:ilvl="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0605B1F"/>
    <w:multiLevelType w:val="hybridMultilevel"/>
    <w:tmpl w:val="053E7554"/>
    <w:lvl w:ilvl="0" w:tplc="FAB491BC">
      <w:start w:val="1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2C25859"/>
    <w:multiLevelType w:val="multilevel"/>
    <w:tmpl w:val="4CA4A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A2053B"/>
    <w:multiLevelType w:val="hybridMultilevel"/>
    <w:tmpl w:val="8BEA3662"/>
    <w:lvl w:ilvl="0" w:tplc="2C0424B4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5BDD665D"/>
    <w:multiLevelType w:val="hybridMultilevel"/>
    <w:tmpl w:val="3A4837C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70DB5B35"/>
    <w:multiLevelType w:val="hybridMultilevel"/>
    <w:tmpl w:val="5FC81540"/>
    <w:lvl w:ilvl="0" w:tplc="2BE43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DD1117D"/>
    <w:multiLevelType w:val="hybridMultilevel"/>
    <w:tmpl w:val="5EE26F38"/>
    <w:lvl w:ilvl="0" w:tplc="34446B8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B77"/>
    <w:rsid w:val="000321B4"/>
    <w:rsid w:val="00093DAF"/>
    <w:rsid w:val="000B1781"/>
    <w:rsid w:val="00131296"/>
    <w:rsid w:val="002B29E2"/>
    <w:rsid w:val="00375D48"/>
    <w:rsid w:val="0047020A"/>
    <w:rsid w:val="004B27D0"/>
    <w:rsid w:val="004B746F"/>
    <w:rsid w:val="005706A3"/>
    <w:rsid w:val="0059260D"/>
    <w:rsid w:val="0060719C"/>
    <w:rsid w:val="00656BDC"/>
    <w:rsid w:val="006A61D6"/>
    <w:rsid w:val="00746BCB"/>
    <w:rsid w:val="007850CE"/>
    <w:rsid w:val="008F7037"/>
    <w:rsid w:val="009528AD"/>
    <w:rsid w:val="00957A2A"/>
    <w:rsid w:val="00970913"/>
    <w:rsid w:val="00990BF8"/>
    <w:rsid w:val="009D05A2"/>
    <w:rsid w:val="00A05CD4"/>
    <w:rsid w:val="00A2035D"/>
    <w:rsid w:val="00A704F8"/>
    <w:rsid w:val="00B24D7C"/>
    <w:rsid w:val="00B33529"/>
    <w:rsid w:val="00BB18B7"/>
    <w:rsid w:val="00C01709"/>
    <w:rsid w:val="00C6101C"/>
    <w:rsid w:val="00C82162"/>
    <w:rsid w:val="00DD2C29"/>
    <w:rsid w:val="00E029C9"/>
    <w:rsid w:val="00E50B77"/>
    <w:rsid w:val="00F121A4"/>
    <w:rsid w:val="00F212CD"/>
    <w:rsid w:val="00FC2FE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D387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D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DAF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B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93D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3D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93DA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420</Words>
  <Characters>2399</Characters>
  <Application>Microsoft Office Word</Application>
  <DocSecurity>0</DocSecurity>
  <Lines>19</Lines>
  <Paragraphs>5</Paragraphs>
  <ScaleCrop>false</ScaleCrop>
  <Company>MOJ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5</cp:revision>
  <dcterms:created xsi:type="dcterms:W3CDTF">2016-11-30T07:25:00Z</dcterms:created>
  <dcterms:modified xsi:type="dcterms:W3CDTF">2016-12-01T06:46:00Z</dcterms:modified>
</cp:coreProperties>
</file>