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57" w:rsidRPr="0037311E" w:rsidRDefault="00DB5BC0" w:rsidP="00DB5BC0">
      <w:pPr>
        <w:jc w:val="center"/>
        <w:rPr>
          <w:rFonts w:ascii="Calibri" w:eastAsia="標楷體" w:hAnsi="Calibri"/>
          <w:b/>
          <w:color w:val="000000" w:themeColor="text1"/>
        </w:rPr>
      </w:pPr>
      <w:r w:rsidRPr="0037311E">
        <w:rPr>
          <w:rFonts w:ascii="Calibri" w:eastAsia="標楷體" w:hAnsi="Calibri"/>
          <w:b/>
          <w:color w:val="000000" w:themeColor="text1"/>
        </w:rPr>
        <w:t>Chinese Taipei ME Assessor questions</w:t>
      </w:r>
      <w:r w:rsidR="00990045" w:rsidRPr="0037311E">
        <w:rPr>
          <w:rFonts w:ascii="Calibri" w:eastAsia="標楷體" w:hAnsi="Calibri"/>
          <w:b/>
          <w:color w:val="000000" w:themeColor="text1"/>
        </w:rPr>
        <w:t xml:space="preserve"> – technical compliance</w:t>
      </w:r>
    </w:p>
    <w:p w:rsidR="00BF3E18" w:rsidRPr="0037311E" w:rsidRDefault="00BF3E18" w:rsidP="00DB5BC0">
      <w:pPr>
        <w:jc w:val="center"/>
        <w:rPr>
          <w:rFonts w:ascii="Calibri" w:eastAsia="標楷體" w:hAnsi="Calibri"/>
          <w:b/>
          <w:color w:val="000000" w:themeColor="text1"/>
          <w:lang w:eastAsia="zh-TW"/>
        </w:rPr>
      </w:pPr>
      <w:r w:rsidRPr="0037311E">
        <w:rPr>
          <w:rFonts w:ascii="Calibri" w:eastAsia="標楷體" w:hAnsi="Calibri" w:hint="eastAsia"/>
          <w:b/>
          <w:color w:val="000000" w:themeColor="text1"/>
          <w:lang w:eastAsia="zh-TW"/>
        </w:rPr>
        <w:t>中華</w:t>
      </w:r>
      <w:proofErr w:type="gramStart"/>
      <w:r w:rsidRPr="0037311E">
        <w:rPr>
          <w:rFonts w:ascii="Calibri" w:eastAsia="標楷體" w:hAnsi="Calibri" w:hint="eastAsia"/>
          <w:b/>
          <w:color w:val="000000" w:themeColor="text1"/>
          <w:lang w:eastAsia="zh-TW"/>
        </w:rPr>
        <w:t>臺</w:t>
      </w:r>
      <w:proofErr w:type="gramEnd"/>
      <w:r w:rsidRPr="0037311E">
        <w:rPr>
          <w:rFonts w:ascii="Calibri" w:eastAsia="標楷體" w:hAnsi="Calibri" w:hint="eastAsia"/>
          <w:b/>
          <w:color w:val="000000" w:themeColor="text1"/>
          <w:lang w:eastAsia="zh-TW"/>
        </w:rPr>
        <w:t>北評鑑團提問</w:t>
      </w:r>
      <w:r w:rsidRPr="0037311E">
        <w:rPr>
          <w:rFonts w:ascii="Calibri" w:eastAsia="標楷體" w:hAnsi="Calibri" w:hint="eastAsia"/>
          <w:b/>
          <w:color w:val="000000" w:themeColor="text1"/>
          <w:lang w:eastAsia="zh-TW"/>
        </w:rPr>
        <w:t>-</w:t>
      </w:r>
      <w:r w:rsidRPr="0037311E">
        <w:rPr>
          <w:rFonts w:ascii="Calibri" w:eastAsia="標楷體" w:hAnsi="Calibri" w:hint="eastAsia"/>
          <w:b/>
          <w:color w:val="000000" w:themeColor="text1"/>
          <w:lang w:eastAsia="zh-TW"/>
        </w:rPr>
        <w:t>技術遵循</w:t>
      </w:r>
    </w:p>
    <w:tbl>
      <w:tblPr>
        <w:tblStyle w:val="a3"/>
        <w:tblW w:w="14913" w:type="dxa"/>
        <w:tblInd w:w="-743" w:type="dxa"/>
        <w:tblLayout w:type="fixed"/>
        <w:tblLook w:val="04A0" w:firstRow="1" w:lastRow="0" w:firstColumn="1" w:lastColumn="0" w:noHBand="0" w:noVBand="1"/>
      </w:tblPr>
      <w:tblGrid>
        <w:gridCol w:w="738"/>
        <w:gridCol w:w="1135"/>
        <w:gridCol w:w="6520"/>
        <w:gridCol w:w="6520"/>
      </w:tblGrid>
      <w:tr w:rsidR="0037311E" w:rsidRPr="0037311E" w:rsidTr="00F76C24">
        <w:tc>
          <w:tcPr>
            <w:tcW w:w="738" w:type="dxa"/>
            <w:shd w:val="clear" w:color="auto" w:fill="C6D9F1" w:themeFill="text2" w:themeFillTint="33"/>
          </w:tcPr>
          <w:p w:rsidR="00A84B80" w:rsidRPr="0037311E" w:rsidRDefault="00A84B80" w:rsidP="007D6765">
            <w:pPr>
              <w:ind w:rightChars="45" w:right="99"/>
              <w:jc w:val="center"/>
              <w:rPr>
                <w:rFonts w:ascii="Calibri" w:eastAsia="標楷體" w:hAnsi="Calibri"/>
                <w:b/>
                <w:color w:val="000000" w:themeColor="text1"/>
                <w:sz w:val="16"/>
                <w:szCs w:val="16"/>
                <w:lang w:eastAsia="zh-TW"/>
              </w:rPr>
            </w:pPr>
            <w:r w:rsidRPr="0037311E">
              <w:rPr>
                <w:rFonts w:ascii="Calibri" w:eastAsia="標楷體" w:hAnsi="Calibri" w:hint="eastAsia"/>
                <w:b/>
                <w:color w:val="000000" w:themeColor="text1"/>
                <w:sz w:val="16"/>
                <w:szCs w:val="16"/>
                <w:lang w:eastAsia="zh-TW"/>
              </w:rPr>
              <w:t>NO</w:t>
            </w:r>
          </w:p>
          <w:p w:rsidR="00F76C24" w:rsidRPr="0037311E" w:rsidRDefault="00F76C24" w:rsidP="007D6765">
            <w:pPr>
              <w:ind w:rightChars="45" w:right="99"/>
              <w:jc w:val="center"/>
              <w:rPr>
                <w:rFonts w:ascii="Calibri" w:eastAsia="標楷體" w:hAnsi="Calibri"/>
                <w:b/>
                <w:color w:val="000000" w:themeColor="text1"/>
                <w:sz w:val="16"/>
                <w:szCs w:val="16"/>
                <w:lang w:eastAsia="zh-TW"/>
              </w:rPr>
            </w:pPr>
            <w:r w:rsidRPr="0037311E">
              <w:rPr>
                <w:rFonts w:ascii="Calibri" w:eastAsia="標楷體" w:hAnsi="Calibri" w:hint="eastAsia"/>
                <w:b/>
                <w:color w:val="000000" w:themeColor="text1"/>
                <w:sz w:val="16"/>
                <w:szCs w:val="16"/>
                <w:lang w:eastAsia="zh-TW"/>
              </w:rPr>
              <w:t>編號</w:t>
            </w:r>
          </w:p>
        </w:tc>
        <w:tc>
          <w:tcPr>
            <w:tcW w:w="1135" w:type="dxa"/>
            <w:shd w:val="clear" w:color="auto" w:fill="C6D9F1" w:themeFill="text2" w:themeFillTint="33"/>
          </w:tcPr>
          <w:p w:rsidR="00F76C24" w:rsidRPr="0037311E" w:rsidRDefault="00F76C24" w:rsidP="00990045">
            <w:pPr>
              <w:jc w:val="center"/>
              <w:rPr>
                <w:rFonts w:ascii="Calibri" w:eastAsia="標楷體" w:hAnsi="Calibri"/>
                <w:b/>
                <w:color w:val="000000" w:themeColor="text1"/>
                <w:sz w:val="16"/>
                <w:szCs w:val="16"/>
              </w:rPr>
            </w:pPr>
            <w:r w:rsidRPr="0037311E">
              <w:rPr>
                <w:rFonts w:ascii="Calibri" w:eastAsia="標楷體" w:hAnsi="Calibri"/>
                <w:b/>
                <w:color w:val="000000" w:themeColor="text1"/>
                <w:sz w:val="16"/>
                <w:szCs w:val="16"/>
              </w:rPr>
              <w:t>TC reference</w:t>
            </w:r>
          </w:p>
        </w:tc>
        <w:tc>
          <w:tcPr>
            <w:tcW w:w="6520" w:type="dxa"/>
            <w:shd w:val="clear" w:color="auto" w:fill="C6D9F1" w:themeFill="text2" w:themeFillTint="33"/>
          </w:tcPr>
          <w:p w:rsidR="00F76C24" w:rsidRPr="0037311E" w:rsidRDefault="00F76C24" w:rsidP="00AF14E0">
            <w:pPr>
              <w:jc w:val="center"/>
              <w:rPr>
                <w:rFonts w:ascii="Calibri" w:eastAsia="標楷體" w:hAnsi="Calibri"/>
                <w:b/>
                <w:color w:val="000000" w:themeColor="text1"/>
                <w:sz w:val="16"/>
                <w:szCs w:val="16"/>
              </w:rPr>
            </w:pPr>
            <w:r w:rsidRPr="0037311E">
              <w:rPr>
                <w:rFonts w:ascii="Calibri" w:eastAsia="標楷體" w:hAnsi="Calibri"/>
                <w:b/>
                <w:color w:val="000000" w:themeColor="text1"/>
                <w:sz w:val="16"/>
                <w:szCs w:val="16"/>
              </w:rPr>
              <w:t>Assessor question</w:t>
            </w:r>
          </w:p>
          <w:p w:rsidR="00F76C24" w:rsidRPr="0037311E" w:rsidRDefault="00F76C24" w:rsidP="00AF14E0">
            <w:pPr>
              <w:jc w:val="center"/>
              <w:rPr>
                <w:rFonts w:ascii="Calibri" w:eastAsia="標楷體" w:hAnsi="Calibri"/>
                <w:b/>
                <w:color w:val="000000" w:themeColor="text1"/>
                <w:sz w:val="16"/>
                <w:szCs w:val="16"/>
              </w:rPr>
            </w:pPr>
            <w:r w:rsidRPr="0037311E">
              <w:rPr>
                <w:rFonts w:ascii="Calibri" w:eastAsia="標楷體" w:hAnsi="Calibri" w:hint="eastAsia"/>
                <w:b/>
                <w:color w:val="000000" w:themeColor="text1"/>
                <w:sz w:val="16"/>
                <w:szCs w:val="16"/>
                <w:lang w:eastAsia="zh-TW"/>
              </w:rPr>
              <w:t>評鑑團提問</w:t>
            </w:r>
          </w:p>
        </w:tc>
        <w:tc>
          <w:tcPr>
            <w:tcW w:w="6520" w:type="dxa"/>
            <w:shd w:val="clear" w:color="auto" w:fill="C6D9F1" w:themeFill="text2" w:themeFillTint="33"/>
          </w:tcPr>
          <w:p w:rsidR="00F76C24" w:rsidRPr="0037311E" w:rsidRDefault="00F76C24" w:rsidP="00DB5BC0">
            <w:pPr>
              <w:ind w:right="-391"/>
              <w:jc w:val="center"/>
              <w:rPr>
                <w:rFonts w:ascii="Calibri" w:eastAsia="標楷體" w:hAnsi="Calibri"/>
                <w:b/>
                <w:color w:val="000000" w:themeColor="text1"/>
                <w:sz w:val="16"/>
                <w:szCs w:val="16"/>
              </w:rPr>
            </w:pPr>
            <w:r w:rsidRPr="0037311E">
              <w:rPr>
                <w:rFonts w:ascii="Calibri" w:eastAsia="標楷體" w:hAnsi="Calibri"/>
                <w:b/>
                <w:color w:val="000000" w:themeColor="text1"/>
                <w:sz w:val="16"/>
                <w:szCs w:val="16"/>
              </w:rPr>
              <w:t>Chinese Taipei Answer</w:t>
            </w:r>
          </w:p>
          <w:p w:rsidR="00F76C24" w:rsidRPr="0037311E" w:rsidRDefault="00F76C24" w:rsidP="00DB5BC0">
            <w:pPr>
              <w:ind w:right="-391"/>
              <w:jc w:val="center"/>
              <w:rPr>
                <w:rFonts w:ascii="Calibri" w:eastAsia="標楷體" w:hAnsi="Calibri"/>
                <w:b/>
                <w:color w:val="000000" w:themeColor="text1"/>
                <w:sz w:val="16"/>
                <w:szCs w:val="16"/>
              </w:rPr>
            </w:pPr>
            <w:r w:rsidRPr="0037311E">
              <w:rPr>
                <w:rFonts w:ascii="Calibri" w:eastAsia="標楷體" w:hAnsi="Calibri" w:hint="eastAsia"/>
                <w:b/>
                <w:color w:val="000000" w:themeColor="text1"/>
                <w:sz w:val="16"/>
                <w:szCs w:val="16"/>
                <w:lang w:eastAsia="zh-TW"/>
              </w:rPr>
              <w:t>中華台北回應</w:t>
            </w:r>
          </w:p>
        </w:tc>
      </w:tr>
      <w:tr w:rsidR="0037311E" w:rsidRPr="0037311E" w:rsidTr="00F76C24">
        <w:tc>
          <w:tcPr>
            <w:tcW w:w="738" w:type="dxa"/>
          </w:tcPr>
          <w:p w:rsidR="0037311E" w:rsidRPr="0037311E" w:rsidRDefault="0037311E" w:rsidP="0037311E">
            <w:pPr>
              <w:ind w:rightChars="45" w:right="99"/>
              <w:jc w:val="center"/>
              <w:rPr>
                <w:rFonts w:ascii="Calibri" w:eastAsia="標楷體" w:hAnsi="Calibri"/>
                <w:color w:val="000000" w:themeColor="text1"/>
                <w:sz w:val="16"/>
                <w:szCs w:val="16"/>
              </w:rPr>
            </w:pPr>
            <w:r w:rsidRPr="0037311E">
              <w:rPr>
                <w:rFonts w:ascii="Calibri" w:hAnsi="Calibri"/>
                <w:color w:val="000000" w:themeColor="text1"/>
                <w:sz w:val="16"/>
                <w:szCs w:val="16"/>
                <w:lang w:eastAsia="zh-TW"/>
              </w:rPr>
              <w:t>30</w:t>
            </w:r>
          </w:p>
          <w:p w:rsidR="0037311E" w:rsidRPr="0037311E" w:rsidRDefault="0037311E" w:rsidP="0037311E">
            <w:pPr>
              <w:ind w:rightChars="45" w:right="99"/>
              <w:jc w:val="center"/>
              <w:rPr>
                <w:rFonts w:ascii="Calibri" w:eastAsia="標楷體" w:hAnsi="Calibri"/>
                <w:color w:val="000000" w:themeColor="text1"/>
                <w:sz w:val="16"/>
                <w:szCs w:val="16"/>
              </w:rPr>
            </w:pPr>
            <w:r w:rsidRPr="0037311E">
              <w:rPr>
                <w:rFonts w:ascii="Calibri" w:hAnsi="Calibri"/>
                <w:color w:val="000000" w:themeColor="text1"/>
                <w:sz w:val="16"/>
                <w:szCs w:val="16"/>
                <w:lang w:eastAsia="zh-TW"/>
              </w:rPr>
              <w:t>(0731)</w:t>
            </w:r>
          </w:p>
        </w:tc>
        <w:tc>
          <w:tcPr>
            <w:tcW w:w="1135" w:type="dxa"/>
          </w:tcPr>
          <w:p w:rsidR="0037311E" w:rsidRPr="0037311E" w:rsidRDefault="0037311E" w:rsidP="0037311E">
            <w:pPr>
              <w:rPr>
                <w:rFonts w:ascii="Calibri" w:eastAsia="標楷體" w:hAnsi="Calibri"/>
                <w:color w:val="000000" w:themeColor="text1"/>
              </w:rPr>
            </w:pPr>
            <w:r w:rsidRPr="0037311E">
              <w:rPr>
                <w:rFonts w:ascii="Calibri" w:hAnsi="Calibri"/>
                <w:color w:val="000000" w:themeColor="text1"/>
              </w:rPr>
              <w:t>5.3</w:t>
            </w:r>
          </w:p>
        </w:tc>
        <w:tc>
          <w:tcPr>
            <w:tcW w:w="6520" w:type="dxa"/>
          </w:tcPr>
          <w:p w:rsidR="0037311E" w:rsidRPr="0037311E" w:rsidRDefault="0037311E" w:rsidP="0037311E">
            <w:pPr>
              <w:rPr>
                <w:rFonts w:eastAsia="標楷體"/>
                <w:color w:val="000000" w:themeColor="text1"/>
                <w:lang w:val="en-US"/>
              </w:rPr>
            </w:pPr>
            <w:r w:rsidRPr="0037311E">
              <w:rPr>
                <w:rFonts w:eastAsia="標楷體"/>
                <w:color w:val="000000" w:themeColor="text1"/>
                <w:lang w:val="en-US"/>
              </w:rPr>
              <w:t>Please explain the scope of coverage of ‘property and property rights’, inter alia, whether they cover both legitimate and illegitimate sources] The TF offences extend to property and property [whether from legitimate or illegitimate source].</w:t>
            </w:r>
          </w:p>
          <w:p w:rsidR="0037311E" w:rsidRPr="0037311E" w:rsidRDefault="0037311E" w:rsidP="0037311E">
            <w:pPr>
              <w:rPr>
                <w:rFonts w:eastAsia="標楷體"/>
                <w:color w:val="000000" w:themeColor="text1"/>
                <w:lang w:eastAsia="zh-TW"/>
              </w:rPr>
            </w:pPr>
            <w:r w:rsidRPr="0037311E">
              <w:rPr>
                <w:rFonts w:eastAsia="標楷體" w:hint="eastAsia"/>
                <w:color w:val="000000" w:themeColor="text1"/>
                <w:lang w:eastAsia="zh-TW"/>
              </w:rPr>
              <w:t>請解釋“財物或財產上利益”的涵蓋範圍，除此之外，它們是否包括合法和非法來源？</w:t>
            </w:r>
          </w:p>
        </w:tc>
        <w:tc>
          <w:tcPr>
            <w:tcW w:w="6520" w:type="dxa"/>
          </w:tcPr>
          <w:p w:rsidR="0037311E" w:rsidRPr="0037311E" w:rsidRDefault="0037311E" w:rsidP="00A21A79">
            <w:pPr>
              <w:pStyle w:val="a4"/>
              <w:numPr>
                <w:ilvl w:val="0"/>
                <w:numId w:val="2"/>
              </w:numPr>
              <w:jc w:val="both"/>
              <w:rPr>
                <w:rFonts w:ascii="Calibri" w:eastAsia="標楷體" w:hAnsi="Calibri"/>
                <w:color w:val="000000" w:themeColor="text1"/>
                <w:lang w:eastAsia="zh-TW"/>
              </w:rPr>
            </w:pPr>
            <w:r w:rsidRPr="0037311E">
              <w:rPr>
                <w:rFonts w:ascii="Calibri" w:eastAsia="標楷體" w:hAnsi="Calibri" w:hint="eastAsia"/>
                <w:color w:val="000000" w:themeColor="text1"/>
                <w:lang w:eastAsia="zh-TW"/>
              </w:rPr>
              <w:t>有關財物乃財產及物品之總稱，其中財產包括動產、不動產、現金、存款、外幣、有價證券、債權或其他財產上權利、其他具有經濟價值或得以金錢交易取得之利益；物品則係指不屬於財產之其</w:t>
            </w:r>
            <w:bookmarkStart w:id="0" w:name="_GoBack"/>
            <w:bookmarkEnd w:id="0"/>
            <w:r w:rsidRPr="0037311E">
              <w:rPr>
                <w:rFonts w:ascii="Calibri" w:eastAsia="標楷體" w:hAnsi="Calibri" w:hint="eastAsia"/>
                <w:color w:val="000000" w:themeColor="text1"/>
                <w:lang w:eastAsia="zh-TW"/>
              </w:rPr>
              <w:t>他設備及用品。財產上利益，則是上述各財產類別所衍生之利益。</w:t>
            </w:r>
          </w:p>
          <w:p w:rsidR="0037311E" w:rsidRPr="0037311E" w:rsidRDefault="0037311E" w:rsidP="00A21A79">
            <w:pPr>
              <w:pStyle w:val="a4"/>
              <w:numPr>
                <w:ilvl w:val="0"/>
                <w:numId w:val="2"/>
              </w:numPr>
              <w:jc w:val="both"/>
              <w:rPr>
                <w:rFonts w:ascii="Calibri" w:eastAsia="標楷體" w:hAnsi="Calibri"/>
                <w:color w:val="000000" w:themeColor="text1"/>
                <w:lang w:eastAsia="zh-TW"/>
              </w:rPr>
            </w:pPr>
            <w:r w:rsidRPr="0037311E">
              <w:rPr>
                <w:rFonts w:ascii="Calibri" w:eastAsia="標楷體" w:hAnsi="Calibri" w:hint="eastAsia"/>
                <w:color w:val="000000" w:themeColor="text1"/>
                <w:lang w:eastAsia="zh-TW"/>
              </w:rPr>
              <w:t>我國</w:t>
            </w:r>
            <w:proofErr w:type="gramStart"/>
            <w:r w:rsidRPr="0037311E">
              <w:rPr>
                <w:rFonts w:ascii="Calibri" w:eastAsia="標楷體" w:hAnsi="Calibri" w:hint="eastAsia"/>
                <w:color w:val="000000" w:themeColor="text1"/>
                <w:lang w:eastAsia="zh-TW"/>
              </w:rPr>
              <w:t>資恐罪</w:t>
            </w:r>
            <w:proofErr w:type="gramEnd"/>
            <w:r w:rsidRPr="0037311E">
              <w:rPr>
                <w:rFonts w:ascii="Calibri" w:eastAsia="標楷體" w:hAnsi="Calibri" w:hint="eastAsia"/>
                <w:color w:val="000000" w:themeColor="text1"/>
                <w:lang w:eastAsia="zh-TW"/>
              </w:rPr>
              <w:t>之成立，客觀構成要件為</w:t>
            </w:r>
            <w:proofErr w:type="gramStart"/>
            <w:r w:rsidRPr="0037311E">
              <w:rPr>
                <w:rFonts w:ascii="Calibri" w:eastAsia="標楷體" w:hAnsi="Calibri" w:hint="eastAsia"/>
                <w:color w:val="000000" w:themeColor="text1"/>
                <w:lang w:eastAsia="zh-TW"/>
              </w:rPr>
              <w:t>資恐者</w:t>
            </w:r>
            <w:proofErr w:type="gramEnd"/>
            <w:r w:rsidRPr="0037311E">
              <w:rPr>
                <w:rFonts w:ascii="Calibri" w:eastAsia="標楷體" w:hAnsi="Calibri" w:hint="eastAsia"/>
                <w:color w:val="000000" w:themeColor="text1"/>
                <w:lang w:eastAsia="zh-TW"/>
              </w:rPr>
              <w:t>直接或間接為其收集或提供財物或財產上利益，「財物或財產上利益」並無合法或非法來源之規定，</w:t>
            </w:r>
            <w:proofErr w:type="gramStart"/>
            <w:r w:rsidRPr="0037311E">
              <w:rPr>
                <w:rFonts w:ascii="Calibri" w:eastAsia="標楷體" w:hAnsi="Calibri" w:hint="eastAsia"/>
                <w:color w:val="000000" w:themeColor="text1"/>
                <w:lang w:eastAsia="zh-TW"/>
              </w:rPr>
              <w:t>亦即資恐行為</w:t>
            </w:r>
            <w:proofErr w:type="gramEnd"/>
            <w:r w:rsidRPr="0037311E">
              <w:rPr>
                <w:rFonts w:ascii="Calibri" w:eastAsia="標楷體" w:hAnsi="Calibri" w:hint="eastAsia"/>
                <w:color w:val="000000" w:themeColor="text1"/>
                <w:lang w:eastAsia="zh-TW"/>
              </w:rPr>
              <w:t>所使用之資金，無論係合法或非法來源，均可論處</w:t>
            </w:r>
            <w:proofErr w:type="gramStart"/>
            <w:r w:rsidRPr="0037311E">
              <w:rPr>
                <w:rFonts w:ascii="Calibri" w:eastAsia="標楷體" w:hAnsi="Calibri" w:hint="eastAsia"/>
                <w:color w:val="000000" w:themeColor="text1"/>
                <w:lang w:eastAsia="zh-TW"/>
              </w:rPr>
              <w:t>資恐罪</w:t>
            </w:r>
            <w:proofErr w:type="gramEnd"/>
            <w:r w:rsidRPr="0037311E">
              <w:rPr>
                <w:rFonts w:ascii="Calibri" w:eastAsia="標楷體" w:hAnsi="Calibri" w:hint="eastAsia"/>
                <w:color w:val="000000" w:themeColor="text1"/>
                <w:lang w:eastAsia="zh-TW"/>
              </w:rPr>
              <w:t>。</w:t>
            </w:r>
          </w:p>
          <w:p w:rsidR="0037311E" w:rsidRPr="0037311E" w:rsidRDefault="0037311E" w:rsidP="00A21A79">
            <w:pPr>
              <w:pStyle w:val="a4"/>
              <w:numPr>
                <w:ilvl w:val="0"/>
                <w:numId w:val="6"/>
              </w:numPr>
              <w:jc w:val="both"/>
              <w:rPr>
                <w:rFonts w:ascii="Calibri" w:eastAsia="標楷體" w:hAnsi="Calibri"/>
                <w:color w:val="000000" w:themeColor="text1"/>
              </w:rPr>
            </w:pPr>
            <w:r w:rsidRPr="0037311E">
              <w:rPr>
                <w:rFonts w:ascii="Calibri" w:hAnsi="Calibri"/>
                <w:color w:val="000000" w:themeColor="text1"/>
              </w:rPr>
              <w:t>The term property is a general term for property and articles. Property includes personal property, real estate, cash, deposits, foreign currency, securities, claims, or other property rights, and other interests of economic value or obtained through monetary transactions. Articles refer to other equipment and supplies not categorized as property. Property interests are the interests derived from the above categories of property.</w:t>
            </w:r>
          </w:p>
          <w:p w:rsidR="0037311E" w:rsidRPr="0037311E" w:rsidRDefault="0037311E" w:rsidP="00A21A79">
            <w:pPr>
              <w:pStyle w:val="a4"/>
              <w:numPr>
                <w:ilvl w:val="0"/>
                <w:numId w:val="6"/>
              </w:numPr>
              <w:jc w:val="both"/>
              <w:rPr>
                <w:rFonts w:ascii="Calibri" w:eastAsia="標楷體" w:hAnsi="Calibri"/>
                <w:color w:val="000000" w:themeColor="text1"/>
              </w:rPr>
            </w:pPr>
            <w:r w:rsidRPr="0037311E">
              <w:rPr>
                <w:rFonts w:ascii="Calibri" w:hAnsi="Calibri"/>
                <w:color w:val="000000" w:themeColor="text1"/>
              </w:rPr>
              <w:t>The objective constitutive elements for determining terrorist financing offenses in Chinese Taipei are the direct or indirect collecting or providing of property or property interests by terrorist financiers; the source of the "property or property interests" is not stipulated as legal or illegal. Therefore funds used in any act of terrorist financing, regardless of whether from a legal or illegal source, constitute a terrorist financing offense.</w:t>
            </w:r>
          </w:p>
        </w:tc>
      </w:tr>
      <w:tr w:rsidR="0037311E" w:rsidRPr="0037311E" w:rsidTr="00F76C24">
        <w:tc>
          <w:tcPr>
            <w:tcW w:w="738" w:type="dxa"/>
          </w:tcPr>
          <w:p w:rsidR="0037311E" w:rsidRPr="0037311E" w:rsidRDefault="0037311E" w:rsidP="0037311E">
            <w:pPr>
              <w:ind w:rightChars="45" w:right="99"/>
              <w:jc w:val="center"/>
              <w:rPr>
                <w:rFonts w:ascii="Calibri" w:eastAsia="標楷體" w:hAnsi="Calibri"/>
                <w:color w:val="000000" w:themeColor="text1"/>
                <w:sz w:val="16"/>
                <w:szCs w:val="16"/>
              </w:rPr>
            </w:pPr>
            <w:r w:rsidRPr="0037311E">
              <w:rPr>
                <w:rFonts w:ascii="Calibri" w:hAnsi="Calibri"/>
                <w:color w:val="000000" w:themeColor="text1"/>
                <w:sz w:val="16"/>
                <w:szCs w:val="16"/>
                <w:lang w:eastAsia="zh-TW"/>
              </w:rPr>
              <w:t>31</w:t>
            </w:r>
          </w:p>
          <w:p w:rsidR="0037311E" w:rsidRPr="0037311E" w:rsidRDefault="0037311E" w:rsidP="0037311E">
            <w:pPr>
              <w:ind w:rightChars="45" w:right="99"/>
              <w:jc w:val="center"/>
              <w:rPr>
                <w:rFonts w:ascii="Calibri" w:eastAsia="標楷體" w:hAnsi="Calibri"/>
                <w:color w:val="000000" w:themeColor="text1"/>
                <w:sz w:val="16"/>
                <w:szCs w:val="16"/>
              </w:rPr>
            </w:pPr>
            <w:r w:rsidRPr="0037311E">
              <w:rPr>
                <w:rFonts w:ascii="Calibri" w:hAnsi="Calibri"/>
                <w:color w:val="000000" w:themeColor="text1"/>
                <w:sz w:val="16"/>
                <w:szCs w:val="16"/>
                <w:lang w:eastAsia="zh-TW"/>
              </w:rPr>
              <w:t>(0731)</w:t>
            </w:r>
          </w:p>
        </w:tc>
        <w:tc>
          <w:tcPr>
            <w:tcW w:w="1135" w:type="dxa"/>
          </w:tcPr>
          <w:p w:rsidR="0037311E" w:rsidRPr="0037311E" w:rsidRDefault="0037311E" w:rsidP="0037311E">
            <w:pPr>
              <w:rPr>
                <w:rFonts w:ascii="Calibri" w:eastAsia="標楷體" w:hAnsi="Calibri"/>
                <w:color w:val="000000" w:themeColor="text1"/>
              </w:rPr>
            </w:pPr>
            <w:r w:rsidRPr="0037311E">
              <w:rPr>
                <w:rFonts w:ascii="Calibri" w:hAnsi="Calibri"/>
                <w:color w:val="000000" w:themeColor="text1"/>
              </w:rPr>
              <w:t>5.6</w:t>
            </w:r>
          </w:p>
        </w:tc>
        <w:tc>
          <w:tcPr>
            <w:tcW w:w="6520" w:type="dxa"/>
          </w:tcPr>
          <w:p w:rsidR="0037311E" w:rsidRPr="0037311E" w:rsidRDefault="0037311E" w:rsidP="0037311E">
            <w:pPr>
              <w:rPr>
                <w:rFonts w:eastAsia="標楷體"/>
                <w:color w:val="000000" w:themeColor="text1"/>
                <w:lang w:val="en-US"/>
              </w:rPr>
            </w:pPr>
            <w:r w:rsidRPr="0037311E">
              <w:rPr>
                <w:rFonts w:eastAsia="標楷體"/>
                <w:color w:val="000000" w:themeColor="text1"/>
                <w:lang w:val="en-US"/>
              </w:rPr>
              <w:t xml:space="preserve">Article 25 of the Criminal Code stipulates that “An attempt is punishable only if specifically so provided and the punishment may be reduced from that for an accomplished offense.” What would be the </w:t>
            </w:r>
            <w:r w:rsidRPr="0037311E">
              <w:rPr>
                <w:rFonts w:eastAsia="標楷體"/>
                <w:color w:val="000000" w:themeColor="text1"/>
                <w:lang w:val="en-US"/>
              </w:rPr>
              <w:lastRenderedPageBreak/>
              <w:t>case for Article 8 &amp; 9 of the Counter Terrorism Financing Act? Would the sentencing be the same or reduced?]</w:t>
            </w:r>
          </w:p>
          <w:p w:rsidR="0037311E" w:rsidRPr="0037311E" w:rsidRDefault="0037311E" w:rsidP="0037311E">
            <w:pPr>
              <w:jc w:val="both"/>
              <w:rPr>
                <w:rFonts w:eastAsia="標楷體"/>
                <w:color w:val="000000" w:themeColor="text1"/>
                <w:lang w:eastAsia="zh-TW"/>
              </w:rPr>
            </w:pPr>
            <w:r w:rsidRPr="0037311E">
              <w:rPr>
                <w:rFonts w:eastAsia="標楷體" w:hint="eastAsia"/>
                <w:color w:val="000000" w:themeColor="text1"/>
                <w:lang w:eastAsia="zh-TW"/>
              </w:rPr>
              <w:t>刑法第</w:t>
            </w:r>
            <w:r w:rsidRPr="0037311E">
              <w:rPr>
                <w:rFonts w:eastAsia="標楷體" w:hint="eastAsia"/>
                <w:color w:val="000000" w:themeColor="text1"/>
                <w:lang w:eastAsia="zh-TW"/>
              </w:rPr>
              <w:t>25</w:t>
            </w:r>
            <w:r w:rsidRPr="0037311E">
              <w:rPr>
                <w:rFonts w:eastAsia="標楷體" w:hint="eastAsia"/>
                <w:color w:val="000000" w:themeColor="text1"/>
                <w:lang w:eastAsia="zh-TW"/>
              </w:rPr>
              <w:t>條規定，未遂犯之處罰，以有特別規定者為限，並得按</w:t>
            </w:r>
            <w:proofErr w:type="gramStart"/>
            <w:r w:rsidRPr="0037311E">
              <w:rPr>
                <w:rFonts w:eastAsia="標楷體" w:hint="eastAsia"/>
                <w:color w:val="000000" w:themeColor="text1"/>
                <w:lang w:eastAsia="zh-TW"/>
              </w:rPr>
              <w:t>既遂犯之</w:t>
            </w:r>
            <w:proofErr w:type="gramEnd"/>
            <w:r w:rsidRPr="0037311E">
              <w:rPr>
                <w:rFonts w:eastAsia="標楷體" w:hint="eastAsia"/>
                <w:color w:val="000000" w:themeColor="text1"/>
                <w:lang w:eastAsia="zh-TW"/>
              </w:rPr>
              <w:t>刑減輕之。依此，有關</w:t>
            </w:r>
            <w:proofErr w:type="gramStart"/>
            <w:r w:rsidRPr="0037311E">
              <w:rPr>
                <w:rFonts w:eastAsia="標楷體" w:hint="eastAsia"/>
                <w:color w:val="000000" w:themeColor="text1"/>
                <w:lang w:eastAsia="zh-TW"/>
              </w:rPr>
              <w:t>資恐防</w:t>
            </w:r>
            <w:proofErr w:type="gramEnd"/>
            <w:r w:rsidRPr="0037311E">
              <w:rPr>
                <w:rFonts w:eastAsia="標楷體" w:hint="eastAsia"/>
                <w:color w:val="000000" w:themeColor="text1"/>
                <w:lang w:eastAsia="zh-TW"/>
              </w:rPr>
              <w:t>制法第</w:t>
            </w:r>
            <w:r w:rsidRPr="0037311E">
              <w:rPr>
                <w:rFonts w:eastAsia="標楷體" w:hint="eastAsia"/>
                <w:color w:val="000000" w:themeColor="text1"/>
                <w:lang w:eastAsia="zh-TW"/>
              </w:rPr>
              <w:t>8</w:t>
            </w:r>
            <w:r w:rsidRPr="0037311E">
              <w:rPr>
                <w:rFonts w:eastAsia="標楷體" w:hint="eastAsia"/>
                <w:color w:val="000000" w:themeColor="text1"/>
                <w:lang w:eastAsia="zh-TW"/>
              </w:rPr>
              <w:t>條和第</w:t>
            </w:r>
            <w:r w:rsidRPr="0037311E">
              <w:rPr>
                <w:rFonts w:eastAsia="標楷體" w:hint="eastAsia"/>
                <w:color w:val="000000" w:themeColor="text1"/>
                <w:lang w:eastAsia="zh-TW"/>
              </w:rPr>
              <w:t>9</w:t>
            </w:r>
            <w:r w:rsidRPr="0037311E">
              <w:rPr>
                <w:rFonts w:eastAsia="標楷體" w:hint="eastAsia"/>
                <w:color w:val="000000" w:themeColor="text1"/>
                <w:lang w:eastAsia="zh-TW"/>
              </w:rPr>
              <w:t>條的情況如何？</w:t>
            </w:r>
            <w:r w:rsidRPr="0037311E">
              <w:rPr>
                <w:rFonts w:eastAsia="標楷體" w:hint="eastAsia"/>
                <w:color w:val="000000" w:themeColor="text1"/>
                <w:lang w:eastAsia="zh-TW"/>
              </w:rPr>
              <w:t xml:space="preserve"> </w:t>
            </w:r>
            <w:proofErr w:type="gramStart"/>
            <w:r w:rsidRPr="0037311E">
              <w:rPr>
                <w:rFonts w:eastAsia="標楷體" w:hint="eastAsia"/>
                <w:color w:val="000000" w:themeColor="text1"/>
                <w:lang w:eastAsia="zh-TW"/>
              </w:rPr>
              <w:t>資恐未遂</w:t>
            </w:r>
            <w:proofErr w:type="gramEnd"/>
            <w:r w:rsidRPr="0037311E">
              <w:rPr>
                <w:rFonts w:eastAsia="標楷體" w:hint="eastAsia"/>
                <w:color w:val="000000" w:themeColor="text1"/>
                <w:lang w:eastAsia="zh-TW"/>
              </w:rPr>
              <w:t>的量刑會維持或減輕嗎？</w:t>
            </w:r>
          </w:p>
        </w:tc>
        <w:tc>
          <w:tcPr>
            <w:tcW w:w="6520" w:type="dxa"/>
          </w:tcPr>
          <w:p w:rsidR="0037311E" w:rsidRPr="0037311E" w:rsidRDefault="0037311E" w:rsidP="00A21A79">
            <w:pPr>
              <w:pStyle w:val="a4"/>
              <w:numPr>
                <w:ilvl w:val="0"/>
                <w:numId w:val="3"/>
              </w:numPr>
              <w:jc w:val="both"/>
              <w:rPr>
                <w:rFonts w:ascii="Calibri" w:eastAsia="標楷體" w:hAnsi="Calibri"/>
                <w:color w:val="000000" w:themeColor="text1"/>
                <w:lang w:eastAsia="zh-TW"/>
              </w:rPr>
            </w:pPr>
            <w:r w:rsidRPr="0037311E">
              <w:rPr>
                <w:rFonts w:ascii="Calibri" w:eastAsia="標楷體" w:hAnsi="Calibri" w:hint="eastAsia"/>
                <w:color w:val="000000" w:themeColor="text1"/>
                <w:lang w:eastAsia="zh-TW"/>
              </w:rPr>
              <w:lastRenderedPageBreak/>
              <w:t>為遏止防範恐怖活動發生，並考量恐怖活動之施行，若未能及時察覺及遏止，將造成大規模傷亡，因此我國</w:t>
            </w:r>
            <w:proofErr w:type="gramStart"/>
            <w:r w:rsidRPr="0037311E">
              <w:rPr>
                <w:rFonts w:ascii="Calibri" w:eastAsia="標楷體" w:hAnsi="Calibri" w:hint="eastAsia"/>
                <w:color w:val="000000" w:themeColor="text1"/>
                <w:lang w:eastAsia="zh-TW"/>
              </w:rPr>
              <w:t>資恐罪</w:t>
            </w:r>
            <w:proofErr w:type="gramEnd"/>
            <w:r w:rsidRPr="0037311E">
              <w:rPr>
                <w:rFonts w:ascii="Calibri" w:eastAsia="標楷體" w:hAnsi="Calibri" w:hint="eastAsia"/>
                <w:color w:val="000000" w:themeColor="text1"/>
                <w:lang w:eastAsia="zh-TW"/>
              </w:rPr>
              <w:t>之處罰，及於未遂犯，其</w:t>
            </w:r>
            <w:proofErr w:type="gramStart"/>
            <w:r w:rsidRPr="0037311E">
              <w:rPr>
                <w:rFonts w:ascii="Calibri" w:eastAsia="標楷體" w:hAnsi="Calibri" w:hint="eastAsia"/>
                <w:color w:val="000000" w:themeColor="text1"/>
                <w:lang w:eastAsia="zh-TW"/>
              </w:rPr>
              <w:t>資恐罪</w:t>
            </w:r>
            <w:proofErr w:type="gramEnd"/>
            <w:r w:rsidRPr="0037311E">
              <w:rPr>
                <w:rFonts w:ascii="Calibri" w:eastAsia="標楷體" w:hAnsi="Calibri" w:hint="eastAsia"/>
                <w:color w:val="000000" w:themeColor="text1"/>
                <w:lang w:eastAsia="zh-TW"/>
              </w:rPr>
              <w:t>之成立，不以結果發生為必要。</w:t>
            </w:r>
          </w:p>
          <w:p w:rsidR="0037311E" w:rsidRPr="0037311E" w:rsidRDefault="0037311E" w:rsidP="00A21A79">
            <w:pPr>
              <w:pStyle w:val="a4"/>
              <w:numPr>
                <w:ilvl w:val="0"/>
                <w:numId w:val="3"/>
              </w:numPr>
              <w:jc w:val="both"/>
              <w:rPr>
                <w:rFonts w:ascii="Calibri" w:eastAsia="標楷體" w:hAnsi="Calibri"/>
                <w:color w:val="000000" w:themeColor="text1"/>
                <w:lang w:eastAsia="zh-TW"/>
              </w:rPr>
            </w:pPr>
            <w:r w:rsidRPr="0037311E">
              <w:rPr>
                <w:rFonts w:ascii="Calibri" w:eastAsia="標楷體" w:hAnsi="Calibri" w:hint="eastAsia"/>
                <w:color w:val="000000" w:themeColor="text1"/>
                <w:lang w:eastAsia="zh-TW"/>
              </w:rPr>
              <w:lastRenderedPageBreak/>
              <w:t>刑法第</w:t>
            </w:r>
            <w:r w:rsidRPr="0037311E">
              <w:rPr>
                <w:rFonts w:ascii="Calibri" w:eastAsia="標楷體" w:hAnsi="Calibri" w:hint="eastAsia"/>
                <w:color w:val="000000" w:themeColor="text1"/>
                <w:lang w:eastAsia="zh-TW"/>
              </w:rPr>
              <w:t>25</w:t>
            </w:r>
            <w:r w:rsidRPr="0037311E">
              <w:rPr>
                <w:rFonts w:ascii="Calibri" w:eastAsia="標楷體" w:hAnsi="Calibri" w:hint="eastAsia"/>
                <w:color w:val="000000" w:themeColor="text1"/>
                <w:lang w:eastAsia="zh-TW"/>
              </w:rPr>
              <w:t>條第</w:t>
            </w:r>
            <w:r w:rsidRPr="0037311E">
              <w:rPr>
                <w:rFonts w:ascii="Calibri" w:eastAsia="標楷體" w:hAnsi="Calibri" w:hint="eastAsia"/>
                <w:color w:val="000000" w:themeColor="text1"/>
                <w:lang w:eastAsia="zh-TW"/>
              </w:rPr>
              <w:t>2</w:t>
            </w:r>
            <w:r w:rsidRPr="0037311E">
              <w:rPr>
                <w:rFonts w:ascii="Calibri" w:eastAsia="標楷體" w:hAnsi="Calibri" w:hint="eastAsia"/>
                <w:color w:val="000000" w:themeColor="text1"/>
                <w:lang w:eastAsia="zh-TW"/>
              </w:rPr>
              <w:t>項規定，未遂犯之處罰「得」按</w:t>
            </w:r>
            <w:proofErr w:type="gramStart"/>
            <w:r w:rsidRPr="0037311E">
              <w:rPr>
                <w:rFonts w:ascii="Calibri" w:eastAsia="標楷體" w:hAnsi="Calibri" w:hint="eastAsia"/>
                <w:color w:val="000000" w:themeColor="text1"/>
                <w:lang w:eastAsia="zh-TW"/>
              </w:rPr>
              <w:t>既遂犯之</w:t>
            </w:r>
            <w:proofErr w:type="gramEnd"/>
            <w:r w:rsidRPr="0037311E">
              <w:rPr>
                <w:rFonts w:ascii="Calibri" w:eastAsia="標楷體" w:hAnsi="Calibri" w:hint="eastAsia"/>
                <w:color w:val="000000" w:themeColor="text1"/>
                <w:lang w:eastAsia="zh-TW"/>
              </w:rPr>
              <w:t>刑減輕之，未遂犯之刑責非必然一定減輕，故有關</w:t>
            </w:r>
            <w:proofErr w:type="gramStart"/>
            <w:r w:rsidRPr="0037311E">
              <w:rPr>
                <w:rFonts w:ascii="Calibri" w:eastAsia="標楷體" w:hAnsi="Calibri" w:hint="eastAsia"/>
                <w:color w:val="000000" w:themeColor="text1"/>
                <w:lang w:eastAsia="zh-TW"/>
              </w:rPr>
              <w:t>資恐防</w:t>
            </w:r>
            <w:proofErr w:type="gramEnd"/>
            <w:r w:rsidRPr="0037311E">
              <w:rPr>
                <w:rFonts w:ascii="Calibri" w:eastAsia="標楷體" w:hAnsi="Calibri" w:hint="eastAsia"/>
                <w:color w:val="000000" w:themeColor="text1"/>
                <w:lang w:eastAsia="zh-TW"/>
              </w:rPr>
              <w:t>制第</w:t>
            </w:r>
            <w:r w:rsidRPr="0037311E">
              <w:rPr>
                <w:rFonts w:ascii="Calibri" w:eastAsia="標楷體" w:hAnsi="Calibri" w:hint="eastAsia"/>
                <w:color w:val="000000" w:themeColor="text1"/>
                <w:lang w:eastAsia="zh-TW"/>
              </w:rPr>
              <w:t>8</w:t>
            </w:r>
            <w:r w:rsidRPr="0037311E">
              <w:rPr>
                <w:rFonts w:ascii="Calibri" w:eastAsia="標楷體" w:hAnsi="Calibri" w:hint="eastAsia"/>
                <w:color w:val="000000" w:themeColor="text1"/>
                <w:lang w:eastAsia="zh-TW"/>
              </w:rPr>
              <w:t>、</w:t>
            </w:r>
            <w:r w:rsidRPr="0037311E">
              <w:rPr>
                <w:rFonts w:ascii="Calibri" w:eastAsia="標楷體" w:hAnsi="Calibri" w:hint="eastAsia"/>
                <w:color w:val="000000" w:themeColor="text1"/>
                <w:lang w:eastAsia="zh-TW"/>
              </w:rPr>
              <w:t>9</w:t>
            </w:r>
            <w:r w:rsidRPr="0037311E">
              <w:rPr>
                <w:rFonts w:ascii="Calibri" w:eastAsia="標楷體" w:hAnsi="Calibri" w:hint="eastAsia"/>
                <w:color w:val="000000" w:themeColor="text1"/>
                <w:lang w:eastAsia="zh-TW"/>
              </w:rPr>
              <w:t>條訂有未遂犯之規定，故其刑責仍由承審法官依個案具體情事，於各該法定刑度內定之。中華</w:t>
            </w:r>
            <w:proofErr w:type="gramStart"/>
            <w:r w:rsidRPr="0037311E">
              <w:rPr>
                <w:rFonts w:ascii="Calibri" w:eastAsia="標楷體" w:hAnsi="Calibri" w:hint="eastAsia"/>
                <w:color w:val="000000" w:themeColor="text1"/>
                <w:lang w:eastAsia="zh-TW"/>
              </w:rPr>
              <w:t>臺</w:t>
            </w:r>
            <w:proofErr w:type="gramEnd"/>
            <w:r w:rsidRPr="0037311E">
              <w:rPr>
                <w:rFonts w:ascii="Calibri" w:eastAsia="標楷體" w:hAnsi="Calibri" w:hint="eastAsia"/>
                <w:color w:val="000000" w:themeColor="text1"/>
                <w:lang w:eastAsia="zh-TW"/>
              </w:rPr>
              <w:t>北法院法官審理具體個案時，係依照訴訟當事人所涉及的一切情形，以犯罪行為人涉案責任為基礎，</w:t>
            </w:r>
            <w:proofErr w:type="gramStart"/>
            <w:r w:rsidRPr="0037311E">
              <w:rPr>
                <w:rFonts w:ascii="Calibri" w:eastAsia="標楷體" w:hAnsi="Calibri" w:hint="eastAsia"/>
                <w:color w:val="000000" w:themeColor="text1"/>
                <w:lang w:eastAsia="zh-TW"/>
              </w:rPr>
              <w:t>並審酌</w:t>
            </w:r>
            <w:proofErr w:type="gramEnd"/>
            <w:r w:rsidRPr="0037311E">
              <w:rPr>
                <w:rFonts w:ascii="Calibri" w:eastAsia="標楷體" w:hAnsi="Calibri" w:hint="eastAsia"/>
                <w:color w:val="000000" w:themeColor="text1"/>
                <w:lang w:eastAsia="zh-TW"/>
              </w:rPr>
              <w:t>一切情狀，作為科刑輕重標準；這些情狀包括犯罪動機、目的；犯罪時所受刺激；犯罪手段；犯罪行為人生活狀況；犯罪行為人品行；犯罪行為人智識程度；犯罪行為人與被害人關係；犯罪行為人違反義務程度</w:t>
            </w:r>
            <w:r w:rsidRPr="0037311E">
              <w:rPr>
                <w:rFonts w:ascii="Calibri" w:eastAsia="標楷體" w:hAnsi="Calibri"/>
                <w:color w:val="000000" w:themeColor="text1"/>
                <w:lang w:eastAsia="zh-TW"/>
              </w:rPr>
              <w:t>等項目</w:t>
            </w:r>
            <w:r w:rsidRPr="0037311E">
              <w:rPr>
                <w:rFonts w:ascii="Calibri" w:eastAsia="標楷體" w:hAnsi="Calibri" w:hint="eastAsia"/>
                <w:color w:val="000000" w:themeColor="text1"/>
                <w:lang w:eastAsia="zh-TW"/>
              </w:rPr>
              <w:t>綜合判斷，並在刑法或相關法規所規範的法定刑度</w:t>
            </w:r>
            <w:proofErr w:type="gramStart"/>
            <w:r w:rsidRPr="0037311E">
              <w:rPr>
                <w:rFonts w:ascii="Calibri" w:eastAsia="標楷體" w:hAnsi="Calibri" w:hint="eastAsia"/>
                <w:color w:val="000000" w:themeColor="text1"/>
                <w:lang w:eastAsia="zh-TW"/>
              </w:rPr>
              <w:t>內論科</w:t>
            </w:r>
            <w:proofErr w:type="gramEnd"/>
            <w:r w:rsidRPr="0037311E">
              <w:rPr>
                <w:rFonts w:ascii="Calibri" w:eastAsia="標楷體" w:hAnsi="Calibri" w:hint="eastAsia"/>
                <w:color w:val="000000" w:themeColor="text1"/>
                <w:lang w:eastAsia="zh-TW"/>
              </w:rPr>
              <w:t>刑度。</w:t>
            </w:r>
          </w:p>
          <w:p w:rsidR="0037311E" w:rsidRPr="0037311E" w:rsidRDefault="0037311E" w:rsidP="00A21A79">
            <w:pPr>
              <w:pStyle w:val="a4"/>
              <w:numPr>
                <w:ilvl w:val="0"/>
                <w:numId w:val="7"/>
              </w:numPr>
              <w:jc w:val="both"/>
              <w:rPr>
                <w:rFonts w:ascii="Calibri" w:eastAsia="標楷體" w:hAnsi="Calibri"/>
                <w:color w:val="000000" w:themeColor="text1"/>
              </w:rPr>
            </w:pPr>
            <w:r w:rsidRPr="0037311E">
              <w:rPr>
                <w:rFonts w:ascii="Calibri" w:hAnsi="Calibri"/>
                <w:color w:val="000000" w:themeColor="text1"/>
              </w:rPr>
              <w:t>In order to deter and prevent terrorism, and in consideration of the casualties caused on a massive scale if such acts are not detected and stopped in time, in Chinese Taipei, the punishment of a terrorist financing offense and the conviction of attempted terrorist financing are not necessarily based on the actual occurrence of a criminal act.</w:t>
            </w:r>
          </w:p>
          <w:p w:rsidR="0037311E" w:rsidRPr="0037311E" w:rsidRDefault="0037311E" w:rsidP="00A21A79">
            <w:pPr>
              <w:pStyle w:val="a4"/>
              <w:numPr>
                <w:ilvl w:val="0"/>
                <w:numId w:val="7"/>
              </w:numPr>
              <w:jc w:val="both"/>
              <w:rPr>
                <w:rFonts w:ascii="Calibri" w:eastAsia="標楷體" w:hAnsi="Calibri"/>
                <w:color w:val="000000" w:themeColor="text1"/>
              </w:rPr>
            </w:pPr>
            <w:r w:rsidRPr="0037311E">
              <w:rPr>
                <w:rFonts w:ascii="Calibri" w:hAnsi="Calibri"/>
                <w:color w:val="000000" w:themeColor="text1"/>
              </w:rPr>
              <w:t xml:space="preserve">Article 25, Paragraph 2 of the Criminal Code stipulates that the punishment of an attempt ‘’may’’ be reduced from that of an accomplished offense. That is to say, the criminal liability of a criminal attempt is not necessarily reduced. Articles 8 and 9 of the Counter-Terrorism Financing Act have provisions for attempted offenses; therefore their criminal liabilities are still determined within the statutory sentence by the trial judge on a case-by-case basis. When a Chinese Taipei’s court judge hears a specific case, the severity of the sentencing is based on the alleged involvement of the litigant, the liability of the offender, and all the circumstances. The above circumstances include factors such as the motive and purpose of the offense; the stimulation perceived at the time of committing the offense; the means used for the commission of the offense; the offender’s lifestyle; the offender’s moral character; the offender’s degree of education and intelligence; the </w:t>
            </w:r>
            <w:r w:rsidRPr="0037311E">
              <w:rPr>
                <w:rFonts w:ascii="Calibri" w:hAnsi="Calibri"/>
                <w:color w:val="000000" w:themeColor="text1"/>
              </w:rPr>
              <w:lastRenderedPageBreak/>
              <w:t>relationship between the offender and the victim(s); the seriousness of the offender’s obligation violation, and others.</w:t>
            </w:r>
            <w:r w:rsidRPr="0037311E">
              <w:rPr>
                <w:rFonts w:ascii="Calibri" w:hAnsi="Calibri"/>
                <w:color w:val="000000" w:themeColor="text1"/>
                <w:lang w:eastAsia="zh-TW"/>
              </w:rPr>
              <w:t xml:space="preserve"> </w:t>
            </w:r>
          </w:p>
        </w:tc>
      </w:tr>
      <w:tr w:rsidR="0037311E" w:rsidRPr="0037311E" w:rsidTr="00F76C24">
        <w:tc>
          <w:tcPr>
            <w:tcW w:w="738" w:type="dxa"/>
          </w:tcPr>
          <w:p w:rsidR="0037311E" w:rsidRPr="0037311E" w:rsidRDefault="0037311E" w:rsidP="0037311E">
            <w:pPr>
              <w:ind w:rightChars="45" w:right="99"/>
              <w:jc w:val="center"/>
              <w:rPr>
                <w:rFonts w:ascii="Calibri" w:eastAsia="標楷體" w:hAnsi="Calibri"/>
                <w:color w:val="000000" w:themeColor="text1"/>
                <w:sz w:val="16"/>
                <w:szCs w:val="16"/>
              </w:rPr>
            </w:pPr>
            <w:r w:rsidRPr="0037311E">
              <w:rPr>
                <w:rFonts w:ascii="Calibri" w:hAnsi="Calibri"/>
                <w:color w:val="000000" w:themeColor="text1"/>
                <w:sz w:val="16"/>
                <w:szCs w:val="16"/>
                <w:lang w:eastAsia="zh-TW"/>
              </w:rPr>
              <w:lastRenderedPageBreak/>
              <w:t>32</w:t>
            </w:r>
          </w:p>
          <w:p w:rsidR="0037311E" w:rsidRPr="0037311E" w:rsidRDefault="0037311E" w:rsidP="0037311E">
            <w:pPr>
              <w:ind w:rightChars="45" w:right="99"/>
              <w:jc w:val="center"/>
              <w:rPr>
                <w:rFonts w:ascii="Calibri" w:eastAsia="標楷體" w:hAnsi="Calibri"/>
                <w:color w:val="000000" w:themeColor="text1"/>
                <w:sz w:val="16"/>
                <w:szCs w:val="16"/>
              </w:rPr>
            </w:pPr>
            <w:r w:rsidRPr="0037311E">
              <w:rPr>
                <w:rFonts w:ascii="Calibri" w:hAnsi="Calibri"/>
                <w:color w:val="000000" w:themeColor="text1"/>
                <w:sz w:val="16"/>
                <w:szCs w:val="16"/>
                <w:lang w:eastAsia="zh-TW"/>
              </w:rPr>
              <w:t>(0731)</w:t>
            </w:r>
          </w:p>
        </w:tc>
        <w:tc>
          <w:tcPr>
            <w:tcW w:w="1135" w:type="dxa"/>
          </w:tcPr>
          <w:p w:rsidR="0037311E" w:rsidRPr="0037311E" w:rsidRDefault="0037311E" w:rsidP="0037311E">
            <w:pPr>
              <w:rPr>
                <w:rFonts w:ascii="Calibri" w:eastAsia="標楷體" w:hAnsi="Calibri"/>
                <w:color w:val="000000" w:themeColor="text1"/>
              </w:rPr>
            </w:pPr>
            <w:r w:rsidRPr="0037311E">
              <w:rPr>
                <w:rFonts w:ascii="Calibri" w:hAnsi="Calibri"/>
                <w:color w:val="000000" w:themeColor="text1"/>
              </w:rPr>
              <w:t>5.10</w:t>
            </w:r>
          </w:p>
        </w:tc>
        <w:tc>
          <w:tcPr>
            <w:tcW w:w="6520" w:type="dxa"/>
          </w:tcPr>
          <w:p w:rsidR="0037311E" w:rsidRPr="0037311E" w:rsidRDefault="0037311E" w:rsidP="0037311E">
            <w:pPr>
              <w:rPr>
                <w:rFonts w:eastAsia="標楷體"/>
                <w:color w:val="000000" w:themeColor="text1"/>
                <w:lang w:val="en-US"/>
              </w:rPr>
            </w:pPr>
            <w:r w:rsidRPr="0037311E">
              <w:rPr>
                <w:rFonts w:eastAsia="標楷體"/>
                <w:color w:val="000000" w:themeColor="text1"/>
                <w:lang w:val="en-US"/>
              </w:rPr>
              <w:t>Do TF offences apply to crimes committed by foreigners abroad?</w:t>
            </w:r>
          </w:p>
          <w:p w:rsidR="0037311E" w:rsidRPr="0037311E" w:rsidRDefault="0037311E" w:rsidP="0037311E">
            <w:pPr>
              <w:rPr>
                <w:rFonts w:eastAsia="標楷體"/>
                <w:color w:val="000000" w:themeColor="text1"/>
                <w:lang w:eastAsia="zh-TW"/>
              </w:rPr>
            </w:pPr>
            <w:proofErr w:type="gramStart"/>
            <w:r w:rsidRPr="0037311E">
              <w:rPr>
                <w:rFonts w:eastAsia="標楷體" w:hint="eastAsia"/>
                <w:color w:val="000000" w:themeColor="text1"/>
                <w:lang w:eastAsia="zh-TW"/>
              </w:rPr>
              <w:t>資恐罪</w:t>
            </w:r>
            <w:proofErr w:type="gramEnd"/>
            <w:r w:rsidRPr="0037311E">
              <w:rPr>
                <w:rFonts w:eastAsia="標楷體" w:hint="eastAsia"/>
                <w:color w:val="000000" w:themeColor="text1"/>
                <w:lang w:eastAsia="zh-TW"/>
              </w:rPr>
              <w:t>之追訴，是否適用於外國人在國外犯下的罪行？</w:t>
            </w:r>
          </w:p>
        </w:tc>
        <w:tc>
          <w:tcPr>
            <w:tcW w:w="6520" w:type="dxa"/>
          </w:tcPr>
          <w:p w:rsidR="0037311E" w:rsidRPr="0037311E" w:rsidRDefault="0037311E" w:rsidP="00A21A79">
            <w:pPr>
              <w:pStyle w:val="a4"/>
              <w:numPr>
                <w:ilvl w:val="0"/>
                <w:numId w:val="4"/>
              </w:numPr>
              <w:jc w:val="both"/>
              <w:rPr>
                <w:rFonts w:ascii="Calibri" w:eastAsia="標楷體" w:hAnsi="Calibri"/>
                <w:color w:val="000000" w:themeColor="text1"/>
                <w:lang w:eastAsia="zh-TW"/>
              </w:rPr>
            </w:pPr>
            <w:r w:rsidRPr="0037311E">
              <w:rPr>
                <w:rFonts w:ascii="Calibri" w:eastAsia="標楷體" w:hAnsi="Calibri" w:hint="eastAsia"/>
                <w:color w:val="000000" w:themeColor="text1"/>
                <w:lang w:eastAsia="zh-TW"/>
              </w:rPr>
              <w:t>在外國犯罪，原則上為刑事訴訟法</w:t>
            </w:r>
            <w:proofErr w:type="gramStart"/>
            <w:r w:rsidRPr="0037311E">
              <w:rPr>
                <w:rFonts w:ascii="Calibri" w:eastAsia="標楷體" w:hAnsi="Calibri" w:hint="eastAsia"/>
                <w:color w:val="000000" w:themeColor="text1"/>
                <w:lang w:eastAsia="zh-TW"/>
              </w:rPr>
              <w:t>效</w:t>
            </w:r>
            <w:proofErr w:type="gramEnd"/>
            <w:r w:rsidRPr="0037311E">
              <w:rPr>
                <w:rFonts w:ascii="Calibri" w:eastAsia="標楷體" w:hAnsi="Calibri" w:hint="eastAsia"/>
                <w:color w:val="000000" w:themeColor="text1"/>
                <w:lang w:eastAsia="zh-TW"/>
              </w:rPr>
              <w:t>力所不及，例外於我國人在國外犯刑法第</w:t>
            </w:r>
            <w:r w:rsidRPr="0037311E">
              <w:rPr>
                <w:rFonts w:ascii="Calibri" w:eastAsia="標楷體" w:hAnsi="Calibri" w:hint="eastAsia"/>
                <w:color w:val="000000" w:themeColor="text1"/>
                <w:lang w:eastAsia="zh-TW"/>
              </w:rPr>
              <w:t xml:space="preserve"> 5</w:t>
            </w:r>
            <w:r w:rsidRPr="0037311E">
              <w:rPr>
                <w:rFonts w:ascii="Calibri" w:eastAsia="標楷體" w:hAnsi="Calibri" w:hint="eastAsia"/>
                <w:color w:val="000000" w:themeColor="text1"/>
                <w:lang w:eastAsia="zh-TW"/>
              </w:rPr>
              <w:t>、</w:t>
            </w:r>
            <w:r w:rsidRPr="0037311E">
              <w:rPr>
                <w:rFonts w:ascii="Calibri" w:eastAsia="標楷體" w:hAnsi="Calibri" w:hint="eastAsia"/>
                <w:color w:val="000000" w:themeColor="text1"/>
                <w:lang w:eastAsia="zh-TW"/>
              </w:rPr>
              <w:t>6</w:t>
            </w:r>
            <w:r w:rsidRPr="0037311E">
              <w:rPr>
                <w:rFonts w:ascii="Calibri" w:eastAsia="標楷體" w:hAnsi="Calibri" w:hint="eastAsia"/>
                <w:color w:val="000000" w:themeColor="text1"/>
                <w:lang w:eastAsia="zh-TW"/>
              </w:rPr>
              <w:t>、</w:t>
            </w:r>
            <w:r w:rsidRPr="0037311E">
              <w:rPr>
                <w:rFonts w:ascii="Calibri" w:eastAsia="標楷體" w:hAnsi="Calibri" w:hint="eastAsia"/>
                <w:color w:val="000000" w:themeColor="text1"/>
                <w:lang w:eastAsia="zh-TW"/>
              </w:rPr>
              <w:t xml:space="preserve">7 </w:t>
            </w:r>
            <w:r w:rsidRPr="0037311E">
              <w:rPr>
                <w:rFonts w:ascii="Calibri" w:eastAsia="標楷體" w:hAnsi="Calibri" w:hint="eastAsia"/>
                <w:color w:val="000000" w:themeColor="text1"/>
                <w:lang w:eastAsia="zh-TW"/>
              </w:rPr>
              <w:t>各條之罪，或外國人在國外犯刑法第</w:t>
            </w:r>
            <w:r w:rsidRPr="0037311E">
              <w:rPr>
                <w:rFonts w:ascii="Calibri" w:eastAsia="標楷體" w:hAnsi="Calibri" w:hint="eastAsia"/>
                <w:color w:val="000000" w:themeColor="text1"/>
                <w:lang w:eastAsia="zh-TW"/>
              </w:rPr>
              <w:t xml:space="preserve"> 5</w:t>
            </w:r>
            <w:r w:rsidRPr="0037311E">
              <w:rPr>
                <w:rFonts w:ascii="Calibri" w:eastAsia="標楷體" w:hAnsi="Calibri" w:hint="eastAsia"/>
                <w:color w:val="000000" w:themeColor="text1"/>
                <w:lang w:eastAsia="zh-TW"/>
              </w:rPr>
              <w:t>、</w:t>
            </w:r>
            <w:r w:rsidRPr="0037311E">
              <w:rPr>
                <w:rFonts w:ascii="Calibri" w:eastAsia="標楷體" w:hAnsi="Calibri" w:hint="eastAsia"/>
                <w:color w:val="000000" w:themeColor="text1"/>
                <w:lang w:eastAsia="zh-TW"/>
              </w:rPr>
              <w:t xml:space="preserve">7 </w:t>
            </w:r>
            <w:r w:rsidRPr="0037311E">
              <w:rPr>
                <w:rFonts w:ascii="Calibri" w:eastAsia="標楷體" w:hAnsi="Calibri" w:hint="eastAsia"/>
                <w:color w:val="000000" w:themeColor="text1"/>
                <w:lang w:eastAsia="zh-TW"/>
              </w:rPr>
              <w:t>各條之罪時，或依刑法第</w:t>
            </w:r>
            <w:r w:rsidRPr="0037311E">
              <w:rPr>
                <w:rFonts w:ascii="Calibri" w:eastAsia="標楷體" w:hAnsi="Calibri" w:hint="eastAsia"/>
                <w:color w:val="000000" w:themeColor="text1"/>
                <w:lang w:eastAsia="zh-TW"/>
              </w:rPr>
              <w:t>8</w:t>
            </w:r>
            <w:r w:rsidRPr="0037311E">
              <w:rPr>
                <w:rFonts w:ascii="Calibri" w:eastAsia="標楷體" w:hAnsi="Calibri" w:hint="eastAsia"/>
                <w:color w:val="000000" w:themeColor="text1"/>
                <w:lang w:eastAsia="zh-TW"/>
              </w:rPr>
              <w:t>條，所犯之罪之最輕本刑為</w:t>
            </w:r>
            <w:r w:rsidRPr="0037311E">
              <w:rPr>
                <w:rFonts w:ascii="Calibri" w:eastAsia="標楷體" w:hAnsi="Calibri" w:hint="eastAsia"/>
                <w:color w:val="000000" w:themeColor="text1"/>
                <w:lang w:eastAsia="zh-TW"/>
              </w:rPr>
              <w:t>3</w:t>
            </w:r>
            <w:r w:rsidRPr="0037311E">
              <w:rPr>
                <w:rFonts w:ascii="Calibri" w:eastAsia="標楷體" w:hAnsi="Calibri" w:hint="eastAsia"/>
                <w:color w:val="000000" w:themeColor="text1"/>
                <w:lang w:eastAsia="zh-TW"/>
              </w:rPr>
              <w:t>年以上有期徒刑者，</w:t>
            </w:r>
            <w:proofErr w:type="gramStart"/>
            <w:r w:rsidRPr="0037311E">
              <w:rPr>
                <w:rFonts w:ascii="Calibri" w:eastAsia="標楷體" w:hAnsi="Calibri" w:hint="eastAsia"/>
                <w:color w:val="000000" w:themeColor="text1"/>
                <w:lang w:eastAsia="zh-TW"/>
              </w:rPr>
              <w:t>準</w:t>
            </w:r>
            <w:proofErr w:type="gramEnd"/>
            <w:r w:rsidRPr="0037311E">
              <w:rPr>
                <w:rFonts w:ascii="Calibri" w:eastAsia="標楷體" w:hAnsi="Calibri" w:hint="eastAsia"/>
                <w:color w:val="000000" w:themeColor="text1"/>
                <w:lang w:eastAsia="zh-TW"/>
              </w:rPr>
              <w:t>用之，前揭情況始為我國刑事訴訟法效力所及。</w:t>
            </w:r>
          </w:p>
          <w:p w:rsidR="0037311E" w:rsidRPr="0037311E" w:rsidRDefault="0037311E" w:rsidP="00A21A79">
            <w:pPr>
              <w:pStyle w:val="a4"/>
              <w:numPr>
                <w:ilvl w:val="0"/>
                <w:numId w:val="5"/>
              </w:numPr>
              <w:jc w:val="both"/>
              <w:rPr>
                <w:rFonts w:ascii="Calibri" w:eastAsia="標楷體" w:hAnsi="Calibri"/>
                <w:color w:val="000000" w:themeColor="text1"/>
                <w:lang w:eastAsia="zh-TW"/>
              </w:rPr>
            </w:pPr>
            <w:proofErr w:type="gramStart"/>
            <w:r w:rsidRPr="0037311E">
              <w:rPr>
                <w:rFonts w:ascii="Calibri" w:eastAsia="標楷體" w:hAnsi="Calibri" w:hint="eastAsia"/>
                <w:color w:val="000000" w:themeColor="text1"/>
                <w:lang w:eastAsia="zh-TW"/>
              </w:rPr>
              <w:t>依資恐防</w:t>
            </w:r>
            <w:proofErr w:type="gramEnd"/>
            <w:r w:rsidRPr="0037311E">
              <w:rPr>
                <w:rFonts w:ascii="Calibri" w:eastAsia="標楷體" w:hAnsi="Calibri" w:hint="eastAsia"/>
                <w:color w:val="000000" w:themeColor="text1"/>
                <w:lang w:eastAsia="zh-TW"/>
              </w:rPr>
              <w:t>制法規定，資助恐怖活動罪（第</w:t>
            </w:r>
            <w:r w:rsidRPr="0037311E">
              <w:rPr>
                <w:rFonts w:ascii="Calibri" w:eastAsia="標楷體" w:hAnsi="Calibri" w:hint="eastAsia"/>
                <w:color w:val="000000" w:themeColor="text1"/>
                <w:lang w:eastAsia="zh-TW"/>
              </w:rPr>
              <w:t>8</w:t>
            </w:r>
            <w:r w:rsidRPr="0037311E">
              <w:rPr>
                <w:rFonts w:ascii="Calibri" w:eastAsia="標楷體" w:hAnsi="Calibri" w:hint="eastAsia"/>
                <w:color w:val="000000" w:themeColor="text1"/>
                <w:lang w:eastAsia="zh-TW"/>
              </w:rPr>
              <w:t>條）最輕本刑為</w:t>
            </w:r>
            <w:r w:rsidRPr="0037311E">
              <w:rPr>
                <w:rFonts w:ascii="Calibri" w:eastAsia="標楷體" w:hAnsi="Calibri" w:hint="eastAsia"/>
                <w:color w:val="000000" w:themeColor="text1"/>
                <w:lang w:eastAsia="zh-TW"/>
              </w:rPr>
              <w:t>1</w:t>
            </w:r>
            <w:r w:rsidRPr="0037311E">
              <w:rPr>
                <w:rFonts w:ascii="Calibri" w:eastAsia="標楷體" w:hAnsi="Calibri" w:hint="eastAsia"/>
                <w:color w:val="000000" w:themeColor="text1"/>
                <w:lang w:eastAsia="zh-TW"/>
              </w:rPr>
              <w:t>年以上、資助恐怖組織罪（第</w:t>
            </w:r>
            <w:r w:rsidRPr="0037311E">
              <w:rPr>
                <w:rFonts w:ascii="Calibri" w:eastAsia="標楷體" w:hAnsi="Calibri" w:hint="eastAsia"/>
                <w:color w:val="000000" w:themeColor="text1"/>
                <w:lang w:eastAsia="zh-TW"/>
              </w:rPr>
              <w:t>9</w:t>
            </w:r>
            <w:r w:rsidRPr="0037311E">
              <w:rPr>
                <w:rFonts w:ascii="Calibri" w:eastAsia="標楷體" w:hAnsi="Calibri" w:hint="eastAsia"/>
                <w:color w:val="000000" w:themeColor="text1"/>
                <w:lang w:eastAsia="zh-TW"/>
              </w:rPr>
              <w:t>條）及資助恐怖分子罪（第</w:t>
            </w:r>
            <w:r w:rsidRPr="0037311E">
              <w:rPr>
                <w:rFonts w:ascii="Calibri" w:eastAsia="標楷體" w:hAnsi="Calibri" w:hint="eastAsia"/>
                <w:color w:val="000000" w:themeColor="text1"/>
                <w:lang w:eastAsia="zh-TW"/>
              </w:rPr>
              <w:t>9</w:t>
            </w:r>
            <w:r w:rsidRPr="0037311E">
              <w:rPr>
                <w:rFonts w:ascii="Calibri" w:eastAsia="標楷體" w:hAnsi="Calibri" w:hint="eastAsia"/>
                <w:color w:val="000000" w:themeColor="text1"/>
                <w:lang w:eastAsia="zh-TW"/>
              </w:rPr>
              <w:t>條）最輕本刑為</w:t>
            </w:r>
            <w:r w:rsidRPr="0037311E">
              <w:rPr>
                <w:rFonts w:ascii="Calibri" w:eastAsia="標楷體" w:hAnsi="Calibri" w:hint="eastAsia"/>
                <w:color w:val="000000" w:themeColor="text1"/>
                <w:lang w:eastAsia="zh-TW"/>
              </w:rPr>
              <w:t>6</w:t>
            </w:r>
            <w:r w:rsidRPr="0037311E">
              <w:rPr>
                <w:rFonts w:ascii="Calibri" w:eastAsia="標楷體" w:hAnsi="Calibri" w:hint="eastAsia"/>
                <w:color w:val="000000" w:themeColor="text1"/>
                <w:lang w:eastAsia="zh-TW"/>
              </w:rPr>
              <w:t>月以上，</w:t>
            </w:r>
            <w:proofErr w:type="gramStart"/>
            <w:r w:rsidRPr="0037311E">
              <w:rPr>
                <w:rFonts w:ascii="Calibri" w:eastAsia="標楷體" w:hAnsi="Calibri" w:hint="eastAsia"/>
                <w:color w:val="000000" w:themeColor="text1"/>
                <w:lang w:eastAsia="zh-TW"/>
              </w:rPr>
              <w:t>均非為</w:t>
            </w:r>
            <w:proofErr w:type="gramEnd"/>
            <w:r w:rsidRPr="0037311E">
              <w:rPr>
                <w:rFonts w:ascii="Calibri" w:eastAsia="標楷體" w:hAnsi="Calibri" w:hint="eastAsia"/>
                <w:color w:val="000000" w:themeColor="text1"/>
                <w:lang w:eastAsia="zh-TW"/>
              </w:rPr>
              <w:t>刑法第</w:t>
            </w:r>
            <w:r w:rsidRPr="0037311E">
              <w:rPr>
                <w:rFonts w:ascii="Calibri" w:eastAsia="標楷體" w:hAnsi="Calibri" w:hint="eastAsia"/>
                <w:color w:val="000000" w:themeColor="text1"/>
                <w:lang w:eastAsia="zh-TW"/>
              </w:rPr>
              <w:t>8</w:t>
            </w:r>
            <w:r w:rsidRPr="0037311E">
              <w:rPr>
                <w:rFonts w:ascii="Calibri" w:eastAsia="標楷體" w:hAnsi="Calibri" w:hint="eastAsia"/>
                <w:color w:val="000000" w:themeColor="text1"/>
                <w:lang w:eastAsia="zh-TW"/>
              </w:rPr>
              <w:t>條所規範最輕本刑</w:t>
            </w:r>
            <w:r w:rsidRPr="0037311E">
              <w:rPr>
                <w:rFonts w:ascii="Calibri" w:eastAsia="標楷體" w:hAnsi="Calibri" w:hint="eastAsia"/>
                <w:color w:val="000000" w:themeColor="text1"/>
                <w:lang w:eastAsia="zh-TW"/>
              </w:rPr>
              <w:t>3</w:t>
            </w:r>
            <w:r w:rsidRPr="0037311E">
              <w:rPr>
                <w:rFonts w:ascii="Calibri" w:eastAsia="標楷體" w:hAnsi="Calibri" w:hint="eastAsia"/>
                <w:color w:val="000000" w:themeColor="text1"/>
                <w:lang w:eastAsia="zh-TW"/>
              </w:rPr>
              <w:t>年以上有期徒刑之罪。因此</w:t>
            </w:r>
            <w:proofErr w:type="gramStart"/>
            <w:r w:rsidRPr="0037311E">
              <w:rPr>
                <w:rFonts w:ascii="Calibri" w:eastAsia="標楷體" w:hAnsi="Calibri" w:hint="eastAsia"/>
                <w:color w:val="000000" w:themeColor="text1"/>
                <w:lang w:eastAsia="zh-TW"/>
              </w:rPr>
              <w:t>資恐罪</w:t>
            </w:r>
            <w:proofErr w:type="gramEnd"/>
            <w:r w:rsidRPr="0037311E">
              <w:rPr>
                <w:rFonts w:ascii="Calibri" w:eastAsia="標楷體" w:hAnsi="Calibri" w:hint="eastAsia"/>
                <w:color w:val="000000" w:themeColor="text1"/>
                <w:lang w:eastAsia="zh-TW"/>
              </w:rPr>
              <w:t>之追訴，不適用於外國人在國外犯</w:t>
            </w:r>
            <w:proofErr w:type="gramStart"/>
            <w:r w:rsidRPr="0037311E">
              <w:rPr>
                <w:rFonts w:ascii="Calibri" w:eastAsia="標楷體" w:hAnsi="Calibri" w:hint="eastAsia"/>
                <w:color w:val="000000" w:themeColor="text1"/>
                <w:lang w:eastAsia="zh-TW"/>
              </w:rPr>
              <w:t>下資恐罪</w:t>
            </w:r>
            <w:proofErr w:type="gramEnd"/>
            <w:r w:rsidRPr="0037311E">
              <w:rPr>
                <w:rFonts w:ascii="Calibri" w:eastAsia="標楷體" w:hAnsi="Calibri" w:hint="eastAsia"/>
                <w:color w:val="000000" w:themeColor="text1"/>
                <w:lang w:eastAsia="zh-TW"/>
              </w:rPr>
              <w:t>。</w:t>
            </w:r>
          </w:p>
          <w:p w:rsidR="0037311E" w:rsidRPr="0037311E" w:rsidRDefault="0037311E" w:rsidP="00A21A79">
            <w:pPr>
              <w:pStyle w:val="a4"/>
              <w:numPr>
                <w:ilvl w:val="0"/>
                <w:numId w:val="5"/>
              </w:numPr>
              <w:jc w:val="both"/>
              <w:rPr>
                <w:rFonts w:ascii="Calibri" w:eastAsia="標楷體" w:hAnsi="Calibri"/>
                <w:color w:val="000000" w:themeColor="text1"/>
                <w:lang w:eastAsia="zh-TW"/>
              </w:rPr>
            </w:pPr>
            <w:r w:rsidRPr="0037311E">
              <w:rPr>
                <w:rFonts w:ascii="Calibri" w:eastAsia="標楷體" w:hAnsi="Calibri" w:hint="eastAsia"/>
                <w:color w:val="000000" w:themeColor="text1"/>
                <w:lang w:eastAsia="zh-TW"/>
              </w:rPr>
              <w:t>依據刑法第</w:t>
            </w:r>
            <w:r w:rsidRPr="0037311E">
              <w:rPr>
                <w:rFonts w:ascii="Calibri" w:eastAsia="標楷體" w:hAnsi="Calibri" w:hint="eastAsia"/>
                <w:color w:val="000000" w:themeColor="text1"/>
                <w:lang w:eastAsia="zh-TW"/>
              </w:rPr>
              <w:t xml:space="preserve"> 4 </w:t>
            </w:r>
            <w:r w:rsidRPr="0037311E">
              <w:rPr>
                <w:rFonts w:ascii="Calibri" w:eastAsia="標楷體" w:hAnsi="Calibri" w:hint="eastAsia"/>
                <w:color w:val="000000" w:themeColor="text1"/>
                <w:lang w:eastAsia="zh-TW"/>
              </w:rPr>
              <w:t>條規定，犯罪之行為或結果，有一在中華民國領域內者，為在中華民國領域內犯罪。因此外國籍</w:t>
            </w:r>
            <w:proofErr w:type="gramStart"/>
            <w:r w:rsidRPr="0037311E">
              <w:rPr>
                <w:rFonts w:ascii="Calibri" w:eastAsia="標楷體" w:hAnsi="Calibri" w:hint="eastAsia"/>
                <w:color w:val="000000" w:themeColor="text1"/>
                <w:lang w:eastAsia="zh-TW"/>
              </w:rPr>
              <w:t>資恐者</w:t>
            </w:r>
            <w:proofErr w:type="gramEnd"/>
            <w:r w:rsidRPr="0037311E">
              <w:rPr>
                <w:rFonts w:ascii="Calibri" w:eastAsia="標楷體" w:hAnsi="Calibri" w:hint="eastAsia"/>
                <w:color w:val="000000" w:themeColor="text1"/>
                <w:lang w:eastAsia="zh-TW"/>
              </w:rPr>
              <w:t>在國外資助在我國領域內發生的恐怖攻擊行動，因恐怖攻擊可能導致殺人或重傷害之結果，前揭罪刑</w:t>
            </w:r>
            <w:proofErr w:type="gramStart"/>
            <w:r w:rsidRPr="0037311E">
              <w:rPr>
                <w:rFonts w:ascii="Calibri" w:eastAsia="標楷體" w:hAnsi="Calibri" w:hint="eastAsia"/>
                <w:color w:val="000000" w:themeColor="text1"/>
                <w:lang w:eastAsia="zh-TW"/>
              </w:rPr>
              <w:t>刑</w:t>
            </w:r>
            <w:proofErr w:type="gramEnd"/>
            <w:r w:rsidRPr="0037311E">
              <w:rPr>
                <w:rFonts w:ascii="Calibri" w:eastAsia="標楷體" w:hAnsi="Calibri" w:hint="eastAsia"/>
                <w:color w:val="000000" w:themeColor="text1"/>
                <w:lang w:eastAsia="zh-TW"/>
              </w:rPr>
              <w:t>度皆為最輕本刑</w:t>
            </w:r>
            <w:r w:rsidRPr="0037311E">
              <w:rPr>
                <w:rFonts w:ascii="Calibri" w:eastAsia="標楷體" w:hAnsi="Calibri" w:hint="eastAsia"/>
                <w:color w:val="000000" w:themeColor="text1"/>
                <w:lang w:eastAsia="zh-TW"/>
              </w:rPr>
              <w:t>3</w:t>
            </w:r>
            <w:r w:rsidRPr="0037311E">
              <w:rPr>
                <w:rFonts w:ascii="Calibri" w:eastAsia="標楷體" w:hAnsi="Calibri" w:hint="eastAsia"/>
                <w:color w:val="000000" w:themeColor="text1"/>
                <w:lang w:eastAsia="zh-TW"/>
              </w:rPr>
              <w:t>年以上有期徒刑，因此則依刑法第</w:t>
            </w:r>
            <w:r w:rsidRPr="0037311E">
              <w:rPr>
                <w:rFonts w:ascii="Calibri" w:eastAsia="標楷體" w:hAnsi="Calibri" w:hint="eastAsia"/>
                <w:color w:val="000000" w:themeColor="text1"/>
                <w:lang w:eastAsia="zh-TW"/>
              </w:rPr>
              <w:t>8</w:t>
            </w:r>
            <w:r w:rsidRPr="0037311E">
              <w:rPr>
                <w:rFonts w:ascii="Calibri" w:eastAsia="標楷體" w:hAnsi="Calibri" w:hint="eastAsia"/>
                <w:color w:val="000000" w:themeColor="text1"/>
                <w:lang w:eastAsia="zh-TW"/>
              </w:rPr>
              <w:t>條</w:t>
            </w:r>
            <w:proofErr w:type="gramStart"/>
            <w:r w:rsidRPr="0037311E">
              <w:rPr>
                <w:rFonts w:ascii="Calibri" w:eastAsia="標楷體" w:hAnsi="Calibri" w:hint="eastAsia"/>
                <w:color w:val="000000" w:themeColor="text1"/>
                <w:lang w:eastAsia="zh-TW"/>
              </w:rPr>
              <w:t>準</w:t>
            </w:r>
            <w:proofErr w:type="gramEnd"/>
            <w:r w:rsidRPr="0037311E">
              <w:rPr>
                <w:rFonts w:ascii="Calibri" w:eastAsia="標楷體" w:hAnsi="Calibri" w:hint="eastAsia"/>
                <w:color w:val="000000" w:themeColor="text1"/>
                <w:lang w:eastAsia="zh-TW"/>
              </w:rPr>
              <w:t>用外國人之規定，對其具有管轄權。</w:t>
            </w:r>
            <w:proofErr w:type="gramStart"/>
            <w:r w:rsidRPr="0037311E">
              <w:rPr>
                <w:rFonts w:ascii="Calibri" w:eastAsia="標楷體" w:hAnsi="Calibri" w:hint="eastAsia"/>
                <w:color w:val="000000" w:themeColor="text1"/>
                <w:lang w:eastAsia="zh-TW"/>
              </w:rPr>
              <w:t>然而資恐行為</w:t>
            </w:r>
            <w:proofErr w:type="gramEnd"/>
            <w:r w:rsidRPr="0037311E">
              <w:rPr>
                <w:rFonts w:ascii="Calibri" w:eastAsia="標楷體" w:hAnsi="Calibri" w:hint="eastAsia"/>
                <w:color w:val="000000" w:themeColor="text1"/>
                <w:lang w:eastAsia="zh-TW"/>
              </w:rPr>
              <w:t>亦屬幫助他人實行犯罪行為者，係刑法第</w:t>
            </w:r>
            <w:r w:rsidRPr="0037311E">
              <w:rPr>
                <w:rFonts w:ascii="Calibri" w:eastAsia="標楷體" w:hAnsi="Calibri" w:hint="eastAsia"/>
                <w:color w:val="000000" w:themeColor="text1"/>
                <w:lang w:eastAsia="zh-TW"/>
              </w:rPr>
              <w:t>30</w:t>
            </w:r>
            <w:r w:rsidRPr="0037311E">
              <w:rPr>
                <w:rFonts w:ascii="Calibri" w:eastAsia="標楷體" w:hAnsi="Calibri" w:hint="eastAsia"/>
                <w:color w:val="000000" w:themeColor="text1"/>
                <w:lang w:eastAsia="zh-TW"/>
              </w:rPr>
              <w:t>條規範之幫助犯，因此外國人在國外資助我國恐怖攻擊之行為，仍可追訴其罪刑。</w:t>
            </w:r>
          </w:p>
          <w:p w:rsidR="0037311E" w:rsidRPr="0037311E" w:rsidRDefault="0037311E" w:rsidP="00A21A79">
            <w:pPr>
              <w:pStyle w:val="a4"/>
              <w:numPr>
                <w:ilvl w:val="0"/>
                <w:numId w:val="8"/>
              </w:numPr>
              <w:jc w:val="both"/>
              <w:rPr>
                <w:rFonts w:ascii="Calibri" w:eastAsia="標楷體" w:hAnsi="Calibri"/>
                <w:color w:val="000000" w:themeColor="text1"/>
              </w:rPr>
            </w:pPr>
            <w:r w:rsidRPr="0037311E">
              <w:rPr>
                <w:rFonts w:ascii="Calibri" w:hAnsi="Calibri"/>
                <w:color w:val="000000" w:themeColor="text1"/>
              </w:rPr>
              <w:t>In principle, an offense committed abroad is beyond the jurisdictional powers of the Code of Criminal Procedure. Exceptions include an offense committed abroad by a national in violation of Article 5, 6, or 7 of the Criminal Code, an offense committed abroad by a foreigner in violation of Article 5 or 7 of the Criminal Code, or an offense with minimum principal punishment of not less than 3 years of imprisonment according to Article 8 of the Criminal Code that applies mutatis mutandis. As such, the aforementioned circumstances are within the jurisdictional powers of the Code of Criminal Procedure.</w:t>
            </w:r>
          </w:p>
          <w:p w:rsidR="0037311E" w:rsidRPr="0037311E" w:rsidRDefault="0037311E" w:rsidP="00A21A79">
            <w:pPr>
              <w:pStyle w:val="a4"/>
              <w:numPr>
                <w:ilvl w:val="0"/>
                <w:numId w:val="8"/>
              </w:numPr>
              <w:jc w:val="both"/>
              <w:rPr>
                <w:rFonts w:ascii="Calibri" w:eastAsia="標楷體" w:hAnsi="Calibri"/>
                <w:color w:val="000000" w:themeColor="text1"/>
              </w:rPr>
            </w:pPr>
            <w:r w:rsidRPr="0037311E">
              <w:rPr>
                <w:rFonts w:ascii="Calibri" w:hAnsi="Calibri"/>
                <w:color w:val="000000" w:themeColor="text1"/>
              </w:rPr>
              <w:t xml:space="preserve">According to the Counter-Terrorism Financing Act, the crime of financing terrorist activities (Article 8) is punishable by </w:t>
            </w:r>
            <w:r w:rsidRPr="0037311E">
              <w:rPr>
                <w:rFonts w:ascii="Calibri" w:hAnsi="Calibri"/>
                <w:color w:val="000000" w:themeColor="text1"/>
              </w:rPr>
              <w:lastRenderedPageBreak/>
              <w:t>imprisonment for not less than 1 year, and the financing of terrorist organizations (Article 9) and the financing of terrorists (Article 9) are punishable by imprisonment for not less than 6 months. These offenses do not carry the minimum penalty of 3 years of imprisonment as stipulated in Article 8 of the Criminal Code. Therefore, the prosecution of terrorist financing does not apply to foreigners who commit terrorist financing abroad.</w:t>
            </w:r>
          </w:p>
          <w:p w:rsidR="0037311E" w:rsidRPr="0037311E" w:rsidRDefault="0037311E" w:rsidP="00A21A79">
            <w:pPr>
              <w:pStyle w:val="a4"/>
              <w:numPr>
                <w:ilvl w:val="0"/>
                <w:numId w:val="8"/>
              </w:numPr>
              <w:jc w:val="both"/>
              <w:rPr>
                <w:rFonts w:ascii="Calibri" w:eastAsia="標楷體" w:hAnsi="Calibri"/>
                <w:color w:val="000000" w:themeColor="text1"/>
              </w:rPr>
            </w:pPr>
            <w:r w:rsidRPr="0037311E">
              <w:rPr>
                <w:rFonts w:ascii="Calibri" w:hAnsi="Calibri"/>
                <w:color w:val="000000" w:themeColor="text1"/>
              </w:rPr>
              <w:t>Article 4 of the Criminal Code states "Where either the conduct or the result of an offense takes place within the territory of the Republic of China, the offense shall be considered as committed within the territory of the Republic of China." As a terrorist attack may result in homicide or severe injury, foreign nationality terrorist financiers of terrorist attacks that occur within the territory of Chinese Taipei are punishable by a minimum penalty of three years imprisonment, the minimum principal punishment for the two aforementioned types of offenses. Therefore, Chinese Taipei has jurisdiction over foreigners in accordance with the provisions of Article 8 of the Criminal Code that apply mutatis mutandis. Moreover, terrorist financing is also the aiding of another in the commission of a crime, and is an accessory according to Article 30 of the Criminal Code. Therefore, if a foreigner abroad funds a terrorist attack in Chinese Taipei, the foreigner can still be prosecuted as an accessory to a crime.</w:t>
            </w:r>
          </w:p>
        </w:tc>
      </w:tr>
    </w:tbl>
    <w:p w:rsidR="00DB5BC0" w:rsidRPr="0037311E" w:rsidRDefault="00DB5BC0" w:rsidP="00DB5BC0">
      <w:pPr>
        <w:rPr>
          <w:rFonts w:ascii="Calibri" w:eastAsia="標楷體" w:hAnsi="Calibri"/>
          <w:color w:val="000000" w:themeColor="text1"/>
        </w:rPr>
      </w:pPr>
    </w:p>
    <w:sectPr w:rsidR="00DB5BC0" w:rsidRPr="0037311E" w:rsidSect="004E6BAC">
      <w:headerReference w:type="default" r:id="rId8"/>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79" w:rsidRDefault="00A21A79" w:rsidP="00312540">
      <w:pPr>
        <w:spacing w:after="0" w:line="240" w:lineRule="auto"/>
      </w:pPr>
      <w:r>
        <w:separator/>
      </w:r>
    </w:p>
  </w:endnote>
  <w:endnote w:type="continuationSeparator" w:id="0">
    <w:p w:rsidR="00A21A79" w:rsidRDefault="00A21A79" w:rsidP="0031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79" w:rsidRDefault="00A21A79" w:rsidP="00312540">
      <w:pPr>
        <w:spacing w:after="0" w:line="240" w:lineRule="auto"/>
      </w:pPr>
      <w:r>
        <w:separator/>
      </w:r>
    </w:p>
  </w:footnote>
  <w:footnote w:type="continuationSeparator" w:id="0">
    <w:p w:rsidR="00A21A79" w:rsidRDefault="00A21A79" w:rsidP="0031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25" w:rsidRDefault="004F1525" w:rsidP="004F1525">
    <w:pPr>
      <w:pStyle w:val="a5"/>
      <w:jc w:val="right"/>
      <w:rPr>
        <w:lang w:eastAsia="zh-TW"/>
      </w:rPr>
    </w:pPr>
    <w:r>
      <w:rPr>
        <w:rFonts w:hint="eastAsia"/>
        <w:lang w:eastAsia="zh-TW"/>
      </w:rPr>
      <w:t>Date</w:t>
    </w:r>
    <w:proofErr w:type="gramStart"/>
    <w:r>
      <w:rPr>
        <w:rFonts w:hint="eastAsia"/>
        <w:lang w:eastAsia="zh-TW"/>
      </w:rPr>
      <w:t>:2018</w:t>
    </w:r>
    <w:r>
      <w:rPr>
        <w:lang w:eastAsia="zh-TW"/>
      </w:rPr>
      <w:t>.</w:t>
    </w:r>
    <w:r>
      <w:rPr>
        <w:rFonts w:hint="eastAsia"/>
        <w:lang w:eastAsia="zh-TW"/>
      </w:rPr>
      <w:t>08</w:t>
    </w:r>
    <w:r>
      <w:rPr>
        <w:lang w:eastAsia="zh-TW"/>
      </w:rPr>
      <w:t>.</w:t>
    </w:r>
    <w:r w:rsidR="007F6640">
      <w:rPr>
        <w:lang w:eastAsia="zh-TW"/>
      </w:rPr>
      <w:t>21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650"/>
    <w:multiLevelType w:val="hybridMultilevel"/>
    <w:tmpl w:val="4F3622F8"/>
    <w:lvl w:ilvl="0" w:tplc="BA7A4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8D2D86"/>
    <w:multiLevelType w:val="hybridMultilevel"/>
    <w:tmpl w:val="BA6650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793893"/>
    <w:multiLevelType w:val="hybridMultilevel"/>
    <w:tmpl w:val="4BE2AD64"/>
    <w:lvl w:ilvl="0" w:tplc="44CE1A0A">
      <w:start w:val="1"/>
      <w:numFmt w:val="decimal"/>
      <w:pStyle w:val="FAFT-TEXTEjustifiedleft"/>
      <w:lvlText w:val="%1."/>
      <w:lvlJc w:val="left"/>
      <w:pPr>
        <w:ind w:left="720" w:hanging="360"/>
      </w:pPr>
      <w:rPr>
        <w:rFonts w:cs="Times New Roman" w:hint="default"/>
        <w:b w:val="0"/>
        <w:i w:val="0"/>
        <w:color w:val="auto"/>
      </w:rPr>
    </w:lvl>
    <w:lvl w:ilvl="1" w:tplc="41606694">
      <w:start w:val="1"/>
      <w:numFmt w:val="bullet"/>
      <w:lvlText w:val="·"/>
      <w:lvlJc w:val="left"/>
      <w:pPr>
        <w:ind w:left="1582" w:hanging="360"/>
      </w:pPr>
      <w:rPr>
        <w:rFonts w:ascii="Symbol" w:hAnsi="Symbol" w:cs="Times New Roman" w:hint="default"/>
        <w:b w:val="0"/>
        <w:i w:val="0"/>
        <w:color w:val="auto"/>
        <w:sz w:val="22"/>
      </w:rPr>
    </w:lvl>
    <w:lvl w:ilvl="2" w:tplc="1C1A5BF8">
      <w:numFmt w:val="bullet"/>
      <w:lvlText w:val="•"/>
      <w:lvlJc w:val="left"/>
      <w:pPr>
        <w:ind w:left="2482" w:hanging="360"/>
      </w:pPr>
      <w:rPr>
        <w:rFonts w:ascii="Times New Roman" w:eastAsia="Times New Roman" w:hAnsi="Times New Roman" w:hint="default"/>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3" w15:restartNumberingAfterBreak="0">
    <w:nsid w:val="30AE31DD"/>
    <w:multiLevelType w:val="hybridMultilevel"/>
    <w:tmpl w:val="4F3622F8"/>
    <w:lvl w:ilvl="0" w:tplc="BA7A4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1044C5"/>
    <w:multiLevelType w:val="hybridMultilevel"/>
    <w:tmpl w:val="A358E34A"/>
    <w:lvl w:ilvl="0" w:tplc="BA7A4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BE0511"/>
    <w:multiLevelType w:val="hybridMultilevel"/>
    <w:tmpl w:val="A358E34A"/>
    <w:lvl w:ilvl="0" w:tplc="BA7A4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97452C"/>
    <w:multiLevelType w:val="hybridMultilevel"/>
    <w:tmpl w:val="BA6650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1A768E"/>
    <w:multiLevelType w:val="hybridMultilevel"/>
    <w:tmpl w:val="02CA7AE0"/>
    <w:lvl w:ilvl="0" w:tplc="24367F1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5"/>
  </w:num>
  <w:num w:numId="4">
    <w:abstractNumId w:val="3"/>
  </w:num>
  <w:num w:numId="5">
    <w:abstractNumId w:val="7"/>
  </w:num>
  <w:num w:numId="6">
    <w:abstractNumId w:val="1"/>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C0"/>
    <w:rsid w:val="0000063C"/>
    <w:rsid w:val="00022856"/>
    <w:rsid w:val="00022E2D"/>
    <w:rsid w:val="00032A92"/>
    <w:rsid w:val="00034E9C"/>
    <w:rsid w:val="00036ACE"/>
    <w:rsid w:val="00037305"/>
    <w:rsid w:val="00037FA9"/>
    <w:rsid w:val="00043349"/>
    <w:rsid w:val="00053910"/>
    <w:rsid w:val="0006076F"/>
    <w:rsid w:val="00064C8C"/>
    <w:rsid w:val="000707E6"/>
    <w:rsid w:val="00073E76"/>
    <w:rsid w:val="0007541E"/>
    <w:rsid w:val="0008599B"/>
    <w:rsid w:val="000875CF"/>
    <w:rsid w:val="000A17C7"/>
    <w:rsid w:val="000A7467"/>
    <w:rsid w:val="000A79A8"/>
    <w:rsid w:val="000C512E"/>
    <w:rsid w:val="000C59EE"/>
    <w:rsid w:val="000D4E16"/>
    <w:rsid w:val="000D6E6C"/>
    <w:rsid w:val="000E6008"/>
    <w:rsid w:val="000F542A"/>
    <w:rsid w:val="000F6EA6"/>
    <w:rsid w:val="001059DB"/>
    <w:rsid w:val="001117B8"/>
    <w:rsid w:val="0011533D"/>
    <w:rsid w:val="001304A0"/>
    <w:rsid w:val="001404AF"/>
    <w:rsid w:val="001406E4"/>
    <w:rsid w:val="0014329E"/>
    <w:rsid w:val="001517A5"/>
    <w:rsid w:val="00166742"/>
    <w:rsid w:val="0018102C"/>
    <w:rsid w:val="00182FE6"/>
    <w:rsid w:val="00184EE7"/>
    <w:rsid w:val="001906E6"/>
    <w:rsid w:val="001A4D9E"/>
    <w:rsid w:val="001A532A"/>
    <w:rsid w:val="001A66B1"/>
    <w:rsid w:val="001A681B"/>
    <w:rsid w:val="001C17D3"/>
    <w:rsid w:val="001D5BD7"/>
    <w:rsid w:val="001F26EB"/>
    <w:rsid w:val="001F2C58"/>
    <w:rsid w:val="00206F84"/>
    <w:rsid w:val="00210D8C"/>
    <w:rsid w:val="00215939"/>
    <w:rsid w:val="00217E64"/>
    <w:rsid w:val="00222332"/>
    <w:rsid w:val="002230E0"/>
    <w:rsid w:val="00236047"/>
    <w:rsid w:val="00252625"/>
    <w:rsid w:val="00264F50"/>
    <w:rsid w:val="00277BCA"/>
    <w:rsid w:val="00281BFF"/>
    <w:rsid w:val="00293593"/>
    <w:rsid w:val="002D08F9"/>
    <w:rsid w:val="002D4D9A"/>
    <w:rsid w:val="002D591C"/>
    <w:rsid w:val="002E4180"/>
    <w:rsid w:val="002E561F"/>
    <w:rsid w:val="002F32E7"/>
    <w:rsid w:val="002F70E2"/>
    <w:rsid w:val="00303E08"/>
    <w:rsid w:val="00306628"/>
    <w:rsid w:val="00312540"/>
    <w:rsid w:val="0031345A"/>
    <w:rsid w:val="00336E02"/>
    <w:rsid w:val="003446BE"/>
    <w:rsid w:val="00351972"/>
    <w:rsid w:val="00362096"/>
    <w:rsid w:val="0037311E"/>
    <w:rsid w:val="003739A3"/>
    <w:rsid w:val="00373FDE"/>
    <w:rsid w:val="00377757"/>
    <w:rsid w:val="003852AC"/>
    <w:rsid w:val="0038543A"/>
    <w:rsid w:val="003A6A3C"/>
    <w:rsid w:val="003A6E30"/>
    <w:rsid w:val="003A70C7"/>
    <w:rsid w:val="003B3E54"/>
    <w:rsid w:val="003B7489"/>
    <w:rsid w:val="003C1041"/>
    <w:rsid w:val="003C2334"/>
    <w:rsid w:val="003C4B50"/>
    <w:rsid w:val="003D017F"/>
    <w:rsid w:val="003D3296"/>
    <w:rsid w:val="003E1DDD"/>
    <w:rsid w:val="003E3404"/>
    <w:rsid w:val="003E4FCB"/>
    <w:rsid w:val="003F4B6E"/>
    <w:rsid w:val="003F77F5"/>
    <w:rsid w:val="00402892"/>
    <w:rsid w:val="00415E92"/>
    <w:rsid w:val="0042165A"/>
    <w:rsid w:val="004334E3"/>
    <w:rsid w:val="004432C1"/>
    <w:rsid w:val="004542C7"/>
    <w:rsid w:val="00455FDA"/>
    <w:rsid w:val="00456BBF"/>
    <w:rsid w:val="00460C70"/>
    <w:rsid w:val="00463B76"/>
    <w:rsid w:val="00470E5D"/>
    <w:rsid w:val="00497F70"/>
    <w:rsid w:val="004A1560"/>
    <w:rsid w:val="004A3506"/>
    <w:rsid w:val="004A620D"/>
    <w:rsid w:val="004A7565"/>
    <w:rsid w:val="004B318A"/>
    <w:rsid w:val="004D2250"/>
    <w:rsid w:val="004D56D4"/>
    <w:rsid w:val="004E1A91"/>
    <w:rsid w:val="004E521C"/>
    <w:rsid w:val="004E6BAC"/>
    <w:rsid w:val="004F1525"/>
    <w:rsid w:val="004F65E4"/>
    <w:rsid w:val="00504C43"/>
    <w:rsid w:val="00510409"/>
    <w:rsid w:val="005167A4"/>
    <w:rsid w:val="005219CD"/>
    <w:rsid w:val="005332F0"/>
    <w:rsid w:val="005530FB"/>
    <w:rsid w:val="00564753"/>
    <w:rsid w:val="00564D40"/>
    <w:rsid w:val="00564EB0"/>
    <w:rsid w:val="00581F28"/>
    <w:rsid w:val="00584976"/>
    <w:rsid w:val="00593AAF"/>
    <w:rsid w:val="005A38F5"/>
    <w:rsid w:val="005A49E2"/>
    <w:rsid w:val="005C2B60"/>
    <w:rsid w:val="005C37FD"/>
    <w:rsid w:val="005C4CBA"/>
    <w:rsid w:val="005C76AA"/>
    <w:rsid w:val="005D0B42"/>
    <w:rsid w:val="005E7076"/>
    <w:rsid w:val="005F07B2"/>
    <w:rsid w:val="005F2AF4"/>
    <w:rsid w:val="005F4ED4"/>
    <w:rsid w:val="006006D3"/>
    <w:rsid w:val="0060524B"/>
    <w:rsid w:val="00605E3A"/>
    <w:rsid w:val="00622904"/>
    <w:rsid w:val="00637DF2"/>
    <w:rsid w:val="006475AC"/>
    <w:rsid w:val="00663742"/>
    <w:rsid w:val="00665F70"/>
    <w:rsid w:val="00667AD6"/>
    <w:rsid w:val="00677A61"/>
    <w:rsid w:val="00684BCA"/>
    <w:rsid w:val="006C5A7F"/>
    <w:rsid w:val="006E121E"/>
    <w:rsid w:val="006F2FAE"/>
    <w:rsid w:val="006F309D"/>
    <w:rsid w:val="006F426E"/>
    <w:rsid w:val="00700964"/>
    <w:rsid w:val="0070348B"/>
    <w:rsid w:val="0070613C"/>
    <w:rsid w:val="007128F6"/>
    <w:rsid w:val="00720E94"/>
    <w:rsid w:val="00723762"/>
    <w:rsid w:val="007319AC"/>
    <w:rsid w:val="007343A9"/>
    <w:rsid w:val="00744776"/>
    <w:rsid w:val="00746584"/>
    <w:rsid w:val="007521BB"/>
    <w:rsid w:val="00755514"/>
    <w:rsid w:val="007664DF"/>
    <w:rsid w:val="007857B4"/>
    <w:rsid w:val="007868C0"/>
    <w:rsid w:val="00795430"/>
    <w:rsid w:val="007A54D8"/>
    <w:rsid w:val="007A7A21"/>
    <w:rsid w:val="007B1360"/>
    <w:rsid w:val="007B262A"/>
    <w:rsid w:val="007B785B"/>
    <w:rsid w:val="007D297B"/>
    <w:rsid w:val="007D3860"/>
    <w:rsid w:val="007D6765"/>
    <w:rsid w:val="007F19D6"/>
    <w:rsid w:val="007F6640"/>
    <w:rsid w:val="0080036D"/>
    <w:rsid w:val="008178BA"/>
    <w:rsid w:val="008265D5"/>
    <w:rsid w:val="008556BD"/>
    <w:rsid w:val="00870CDE"/>
    <w:rsid w:val="00870EDC"/>
    <w:rsid w:val="008A11B2"/>
    <w:rsid w:val="008A734E"/>
    <w:rsid w:val="008C1FF9"/>
    <w:rsid w:val="008E317A"/>
    <w:rsid w:val="008E4CA1"/>
    <w:rsid w:val="008E559F"/>
    <w:rsid w:val="008F1561"/>
    <w:rsid w:val="008F375A"/>
    <w:rsid w:val="008F70B8"/>
    <w:rsid w:val="009129E9"/>
    <w:rsid w:val="0092309A"/>
    <w:rsid w:val="00932201"/>
    <w:rsid w:val="00944C98"/>
    <w:rsid w:val="00967781"/>
    <w:rsid w:val="00971451"/>
    <w:rsid w:val="00977546"/>
    <w:rsid w:val="009840B6"/>
    <w:rsid w:val="00990045"/>
    <w:rsid w:val="00992540"/>
    <w:rsid w:val="009A7A4A"/>
    <w:rsid w:val="009B52E9"/>
    <w:rsid w:val="009C54EE"/>
    <w:rsid w:val="009E251C"/>
    <w:rsid w:val="009F0BDB"/>
    <w:rsid w:val="009F1714"/>
    <w:rsid w:val="00A21A79"/>
    <w:rsid w:val="00A304C8"/>
    <w:rsid w:val="00A36571"/>
    <w:rsid w:val="00A41AAE"/>
    <w:rsid w:val="00A46B40"/>
    <w:rsid w:val="00A51421"/>
    <w:rsid w:val="00A570E0"/>
    <w:rsid w:val="00A83F4C"/>
    <w:rsid w:val="00A84B80"/>
    <w:rsid w:val="00A85D6A"/>
    <w:rsid w:val="00A93F36"/>
    <w:rsid w:val="00A95C68"/>
    <w:rsid w:val="00AB14AB"/>
    <w:rsid w:val="00AB3E03"/>
    <w:rsid w:val="00AB762F"/>
    <w:rsid w:val="00AC2971"/>
    <w:rsid w:val="00AC3805"/>
    <w:rsid w:val="00AD630A"/>
    <w:rsid w:val="00AE30C3"/>
    <w:rsid w:val="00AE50F7"/>
    <w:rsid w:val="00AE5603"/>
    <w:rsid w:val="00AF14E0"/>
    <w:rsid w:val="00AF1C22"/>
    <w:rsid w:val="00B15F33"/>
    <w:rsid w:val="00B249A4"/>
    <w:rsid w:val="00B310BD"/>
    <w:rsid w:val="00B31A81"/>
    <w:rsid w:val="00B35901"/>
    <w:rsid w:val="00B35E48"/>
    <w:rsid w:val="00B61313"/>
    <w:rsid w:val="00B619FB"/>
    <w:rsid w:val="00B64338"/>
    <w:rsid w:val="00B81F08"/>
    <w:rsid w:val="00B82566"/>
    <w:rsid w:val="00B83F19"/>
    <w:rsid w:val="00B85175"/>
    <w:rsid w:val="00B862C9"/>
    <w:rsid w:val="00B92ABF"/>
    <w:rsid w:val="00B972C5"/>
    <w:rsid w:val="00B97D2D"/>
    <w:rsid w:val="00BA3D91"/>
    <w:rsid w:val="00BA6141"/>
    <w:rsid w:val="00BB721F"/>
    <w:rsid w:val="00BC01FA"/>
    <w:rsid w:val="00BC753C"/>
    <w:rsid w:val="00BD475A"/>
    <w:rsid w:val="00BD71FA"/>
    <w:rsid w:val="00BF3E18"/>
    <w:rsid w:val="00BF67C7"/>
    <w:rsid w:val="00BF7D01"/>
    <w:rsid w:val="00C00A21"/>
    <w:rsid w:val="00C376BB"/>
    <w:rsid w:val="00C61574"/>
    <w:rsid w:val="00C74967"/>
    <w:rsid w:val="00C90EB9"/>
    <w:rsid w:val="00C92D83"/>
    <w:rsid w:val="00C956F3"/>
    <w:rsid w:val="00C95B89"/>
    <w:rsid w:val="00CC63DF"/>
    <w:rsid w:val="00CC78C2"/>
    <w:rsid w:val="00CD2BDD"/>
    <w:rsid w:val="00CE0B1E"/>
    <w:rsid w:val="00CE0F9C"/>
    <w:rsid w:val="00CE34F4"/>
    <w:rsid w:val="00CF7904"/>
    <w:rsid w:val="00D06E1A"/>
    <w:rsid w:val="00D14C3D"/>
    <w:rsid w:val="00D26C34"/>
    <w:rsid w:val="00D378CB"/>
    <w:rsid w:val="00D41339"/>
    <w:rsid w:val="00D45E15"/>
    <w:rsid w:val="00D5240B"/>
    <w:rsid w:val="00D57392"/>
    <w:rsid w:val="00D7695C"/>
    <w:rsid w:val="00D941AD"/>
    <w:rsid w:val="00DB2376"/>
    <w:rsid w:val="00DB5BC0"/>
    <w:rsid w:val="00DB7FF6"/>
    <w:rsid w:val="00DC645B"/>
    <w:rsid w:val="00DE4219"/>
    <w:rsid w:val="00DF4BC4"/>
    <w:rsid w:val="00DF7709"/>
    <w:rsid w:val="00E00FA0"/>
    <w:rsid w:val="00E23E69"/>
    <w:rsid w:val="00E26C2F"/>
    <w:rsid w:val="00E34BF3"/>
    <w:rsid w:val="00E367CD"/>
    <w:rsid w:val="00E369A1"/>
    <w:rsid w:val="00E45CE7"/>
    <w:rsid w:val="00E53824"/>
    <w:rsid w:val="00E61421"/>
    <w:rsid w:val="00E67525"/>
    <w:rsid w:val="00E821E4"/>
    <w:rsid w:val="00E8360F"/>
    <w:rsid w:val="00EA0880"/>
    <w:rsid w:val="00EA6AA7"/>
    <w:rsid w:val="00EA7115"/>
    <w:rsid w:val="00EB0445"/>
    <w:rsid w:val="00EB69EF"/>
    <w:rsid w:val="00EC7636"/>
    <w:rsid w:val="00EC7F9E"/>
    <w:rsid w:val="00EE2A3F"/>
    <w:rsid w:val="00EE51C7"/>
    <w:rsid w:val="00F033F1"/>
    <w:rsid w:val="00F17E34"/>
    <w:rsid w:val="00F23807"/>
    <w:rsid w:val="00F23A0B"/>
    <w:rsid w:val="00F252DB"/>
    <w:rsid w:val="00F500F3"/>
    <w:rsid w:val="00F5500A"/>
    <w:rsid w:val="00F601E5"/>
    <w:rsid w:val="00F76C24"/>
    <w:rsid w:val="00F76F92"/>
    <w:rsid w:val="00F83DF2"/>
    <w:rsid w:val="00F90551"/>
    <w:rsid w:val="00F912ED"/>
    <w:rsid w:val="00F9327C"/>
    <w:rsid w:val="00F93AB5"/>
    <w:rsid w:val="00FA158E"/>
    <w:rsid w:val="00FA1FF3"/>
    <w:rsid w:val="00FB0737"/>
    <w:rsid w:val="00FC61EB"/>
    <w:rsid w:val="00FC7085"/>
    <w:rsid w:val="00FE2142"/>
    <w:rsid w:val="00FE61D6"/>
    <w:rsid w:val="00FE74E4"/>
    <w:rsid w:val="00FE7E0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3BF0"/>
  <w15:docId w15:val="{5456C6A0-68EB-4F1F-BCDF-3A57B14D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FT-TEXTEjustifiedleft">
    <w:name w:val="FAFT-TEXTE justified left"/>
    <w:basedOn w:val="a"/>
    <w:qFormat/>
    <w:rsid w:val="00F912ED"/>
    <w:pPr>
      <w:numPr>
        <w:numId w:val="1"/>
      </w:numPr>
      <w:tabs>
        <w:tab w:val="left" w:pos="850"/>
        <w:tab w:val="left" w:pos="1191"/>
        <w:tab w:val="left" w:pos="1531"/>
      </w:tabs>
      <w:spacing w:after="120" w:line="280" w:lineRule="exact"/>
      <w:jc w:val="both"/>
    </w:pPr>
    <w:rPr>
      <w:rFonts w:ascii="Cambria" w:eastAsia="Times New Roman" w:hAnsi="Cambria" w:cs="Times New Roman"/>
      <w:spacing w:val="2"/>
      <w:lang w:eastAsia="zh-CN"/>
    </w:rPr>
  </w:style>
  <w:style w:type="paragraph" w:styleId="a4">
    <w:name w:val="List Paragraph"/>
    <w:basedOn w:val="a"/>
    <w:uiPriority w:val="34"/>
    <w:qFormat/>
    <w:rsid w:val="00F033F1"/>
    <w:pPr>
      <w:ind w:left="720"/>
      <w:contextualSpacing/>
    </w:pPr>
  </w:style>
  <w:style w:type="paragraph" w:styleId="a5">
    <w:name w:val="header"/>
    <w:basedOn w:val="a"/>
    <w:link w:val="a6"/>
    <w:uiPriority w:val="99"/>
    <w:unhideWhenUsed/>
    <w:rsid w:val="00312540"/>
    <w:pPr>
      <w:tabs>
        <w:tab w:val="center" w:pos="4153"/>
        <w:tab w:val="right" w:pos="8306"/>
      </w:tabs>
      <w:snapToGrid w:val="0"/>
    </w:pPr>
    <w:rPr>
      <w:sz w:val="20"/>
      <w:szCs w:val="20"/>
    </w:rPr>
  </w:style>
  <w:style w:type="character" w:customStyle="1" w:styleId="a6">
    <w:name w:val="頁首 字元"/>
    <w:basedOn w:val="a0"/>
    <w:link w:val="a5"/>
    <w:uiPriority w:val="99"/>
    <w:rsid w:val="00312540"/>
    <w:rPr>
      <w:sz w:val="20"/>
      <w:szCs w:val="20"/>
      <w:lang w:val="en-GB"/>
    </w:rPr>
  </w:style>
  <w:style w:type="paragraph" w:styleId="a7">
    <w:name w:val="footer"/>
    <w:basedOn w:val="a"/>
    <w:link w:val="a8"/>
    <w:uiPriority w:val="99"/>
    <w:unhideWhenUsed/>
    <w:rsid w:val="00312540"/>
    <w:pPr>
      <w:tabs>
        <w:tab w:val="center" w:pos="4153"/>
        <w:tab w:val="right" w:pos="8306"/>
      </w:tabs>
      <w:snapToGrid w:val="0"/>
    </w:pPr>
    <w:rPr>
      <w:sz w:val="20"/>
      <w:szCs w:val="20"/>
    </w:rPr>
  </w:style>
  <w:style w:type="character" w:customStyle="1" w:styleId="a8">
    <w:name w:val="頁尾 字元"/>
    <w:basedOn w:val="a0"/>
    <w:link w:val="a7"/>
    <w:uiPriority w:val="99"/>
    <w:rsid w:val="00312540"/>
    <w:rPr>
      <w:sz w:val="20"/>
      <w:szCs w:val="20"/>
      <w:lang w:val="en-GB"/>
    </w:rPr>
  </w:style>
  <w:style w:type="character" w:styleId="a9">
    <w:name w:val="Hyperlink"/>
    <w:basedOn w:val="a0"/>
    <w:uiPriority w:val="99"/>
    <w:unhideWhenUsed/>
    <w:rsid w:val="00073E76"/>
    <w:rPr>
      <w:color w:val="0000FF" w:themeColor="hyperlink"/>
      <w:u w:val="single"/>
    </w:rPr>
  </w:style>
  <w:style w:type="paragraph" w:styleId="aa">
    <w:name w:val="Balloon Text"/>
    <w:basedOn w:val="a"/>
    <w:link w:val="ab"/>
    <w:uiPriority w:val="99"/>
    <w:semiHidden/>
    <w:unhideWhenUsed/>
    <w:rsid w:val="00E00FA0"/>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00FA0"/>
    <w:rPr>
      <w:rFonts w:asciiTheme="majorHAnsi" w:eastAsiaTheme="majorEastAsia" w:hAnsiTheme="majorHAnsi" w:cstheme="majorBidi"/>
      <w:sz w:val="18"/>
      <w:szCs w:val="18"/>
      <w:lang w:val="en-GB"/>
    </w:rPr>
  </w:style>
  <w:style w:type="paragraph" w:styleId="ac">
    <w:name w:val="footnote text"/>
    <w:basedOn w:val="a"/>
    <w:link w:val="ad"/>
    <w:uiPriority w:val="99"/>
    <w:unhideWhenUsed/>
    <w:rsid w:val="00053910"/>
    <w:pPr>
      <w:widowControl w:val="0"/>
      <w:autoSpaceDE w:val="0"/>
      <w:autoSpaceDN w:val="0"/>
      <w:spacing w:after="0" w:line="240" w:lineRule="auto"/>
    </w:pPr>
    <w:rPr>
      <w:rFonts w:ascii="Calibri" w:eastAsia="Calibri" w:hAnsi="Calibri" w:cs="Calibri"/>
      <w:sz w:val="24"/>
      <w:szCs w:val="24"/>
      <w:lang w:val="en-US"/>
    </w:rPr>
  </w:style>
  <w:style w:type="character" w:customStyle="1" w:styleId="ad">
    <w:name w:val="註腳文字 字元"/>
    <w:basedOn w:val="a0"/>
    <w:link w:val="ac"/>
    <w:uiPriority w:val="99"/>
    <w:rsid w:val="00053910"/>
    <w:rPr>
      <w:rFonts w:ascii="Calibri" w:eastAsia="Calibri" w:hAnsi="Calibri" w:cs="Calibri"/>
      <w:sz w:val="24"/>
      <w:szCs w:val="24"/>
      <w:lang w:val="en-US"/>
    </w:rPr>
  </w:style>
  <w:style w:type="character" w:styleId="ae">
    <w:name w:val="footnote reference"/>
    <w:basedOn w:val="a0"/>
    <w:uiPriority w:val="99"/>
    <w:unhideWhenUsed/>
    <w:rsid w:val="00053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279">
      <w:bodyDiv w:val="1"/>
      <w:marLeft w:val="0"/>
      <w:marRight w:val="0"/>
      <w:marTop w:val="0"/>
      <w:marBottom w:val="0"/>
      <w:divBdr>
        <w:top w:val="none" w:sz="0" w:space="0" w:color="auto"/>
        <w:left w:val="none" w:sz="0" w:space="0" w:color="auto"/>
        <w:bottom w:val="none" w:sz="0" w:space="0" w:color="auto"/>
        <w:right w:val="none" w:sz="0" w:space="0" w:color="auto"/>
      </w:divBdr>
    </w:div>
    <w:div w:id="61561339">
      <w:bodyDiv w:val="1"/>
      <w:marLeft w:val="0"/>
      <w:marRight w:val="0"/>
      <w:marTop w:val="0"/>
      <w:marBottom w:val="0"/>
      <w:divBdr>
        <w:top w:val="none" w:sz="0" w:space="0" w:color="auto"/>
        <w:left w:val="none" w:sz="0" w:space="0" w:color="auto"/>
        <w:bottom w:val="none" w:sz="0" w:space="0" w:color="auto"/>
        <w:right w:val="none" w:sz="0" w:space="0" w:color="auto"/>
      </w:divBdr>
    </w:div>
    <w:div w:id="78798237">
      <w:bodyDiv w:val="1"/>
      <w:marLeft w:val="0"/>
      <w:marRight w:val="0"/>
      <w:marTop w:val="0"/>
      <w:marBottom w:val="0"/>
      <w:divBdr>
        <w:top w:val="none" w:sz="0" w:space="0" w:color="auto"/>
        <w:left w:val="none" w:sz="0" w:space="0" w:color="auto"/>
        <w:bottom w:val="none" w:sz="0" w:space="0" w:color="auto"/>
        <w:right w:val="none" w:sz="0" w:space="0" w:color="auto"/>
      </w:divBdr>
    </w:div>
    <w:div w:id="121391989">
      <w:bodyDiv w:val="1"/>
      <w:marLeft w:val="0"/>
      <w:marRight w:val="0"/>
      <w:marTop w:val="0"/>
      <w:marBottom w:val="0"/>
      <w:divBdr>
        <w:top w:val="none" w:sz="0" w:space="0" w:color="auto"/>
        <w:left w:val="none" w:sz="0" w:space="0" w:color="auto"/>
        <w:bottom w:val="none" w:sz="0" w:space="0" w:color="auto"/>
        <w:right w:val="none" w:sz="0" w:space="0" w:color="auto"/>
      </w:divBdr>
    </w:div>
    <w:div w:id="215094449">
      <w:bodyDiv w:val="1"/>
      <w:marLeft w:val="0"/>
      <w:marRight w:val="0"/>
      <w:marTop w:val="0"/>
      <w:marBottom w:val="0"/>
      <w:divBdr>
        <w:top w:val="none" w:sz="0" w:space="0" w:color="auto"/>
        <w:left w:val="none" w:sz="0" w:space="0" w:color="auto"/>
        <w:bottom w:val="none" w:sz="0" w:space="0" w:color="auto"/>
        <w:right w:val="none" w:sz="0" w:space="0" w:color="auto"/>
      </w:divBdr>
    </w:div>
    <w:div w:id="441460548">
      <w:bodyDiv w:val="1"/>
      <w:marLeft w:val="0"/>
      <w:marRight w:val="0"/>
      <w:marTop w:val="0"/>
      <w:marBottom w:val="0"/>
      <w:divBdr>
        <w:top w:val="none" w:sz="0" w:space="0" w:color="auto"/>
        <w:left w:val="none" w:sz="0" w:space="0" w:color="auto"/>
        <w:bottom w:val="none" w:sz="0" w:space="0" w:color="auto"/>
        <w:right w:val="none" w:sz="0" w:space="0" w:color="auto"/>
      </w:divBdr>
    </w:div>
    <w:div w:id="481391571">
      <w:bodyDiv w:val="1"/>
      <w:marLeft w:val="0"/>
      <w:marRight w:val="0"/>
      <w:marTop w:val="0"/>
      <w:marBottom w:val="0"/>
      <w:divBdr>
        <w:top w:val="none" w:sz="0" w:space="0" w:color="auto"/>
        <w:left w:val="none" w:sz="0" w:space="0" w:color="auto"/>
        <w:bottom w:val="none" w:sz="0" w:space="0" w:color="auto"/>
        <w:right w:val="none" w:sz="0" w:space="0" w:color="auto"/>
      </w:divBdr>
    </w:div>
    <w:div w:id="549725211">
      <w:bodyDiv w:val="1"/>
      <w:marLeft w:val="0"/>
      <w:marRight w:val="0"/>
      <w:marTop w:val="0"/>
      <w:marBottom w:val="0"/>
      <w:divBdr>
        <w:top w:val="none" w:sz="0" w:space="0" w:color="auto"/>
        <w:left w:val="none" w:sz="0" w:space="0" w:color="auto"/>
        <w:bottom w:val="none" w:sz="0" w:space="0" w:color="auto"/>
        <w:right w:val="none" w:sz="0" w:space="0" w:color="auto"/>
      </w:divBdr>
    </w:div>
    <w:div w:id="567347327">
      <w:bodyDiv w:val="1"/>
      <w:marLeft w:val="0"/>
      <w:marRight w:val="0"/>
      <w:marTop w:val="0"/>
      <w:marBottom w:val="0"/>
      <w:divBdr>
        <w:top w:val="none" w:sz="0" w:space="0" w:color="auto"/>
        <w:left w:val="none" w:sz="0" w:space="0" w:color="auto"/>
        <w:bottom w:val="none" w:sz="0" w:space="0" w:color="auto"/>
        <w:right w:val="none" w:sz="0" w:space="0" w:color="auto"/>
      </w:divBdr>
    </w:div>
    <w:div w:id="706444594">
      <w:bodyDiv w:val="1"/>
      <w:marLeft w:val="0"/>
      <w:marRight w:val="0"/>
      <w:marTop w:val="0"/>
      <w:marBottom w:val="0"/>
      <w:divBdr>
        <w:top w:val="none" w:sz="0" w:space="0" w:color="auto"/>
        <w:left w:val="none" w:sz="0" w:space="0" w:color="auto"/>
        <w:bottom w:val="none" w:sz="0" w:space="0" w:color="auto"/>
        <w:right w:val="none" w:sz="0" w:space="0" w:color="auto"/>
      </w:divBdr>
    </w:div>
    <w:div w:id="723407209">
      <w:bodyDiv w:val="1"/>
      <w:marLeft w:val="0"/>
      <w:marRight w:val="0"/>
      <w:marTop w:val="0"/>
      <w:marBottom w:val="0"/>
      <w:divBdr>
        <w:top w:val="none" w:sz="0" w:space="0" w:color="auto"/>
        <w:left w:val="none" w:sz="0" w:space="0" w:color="auto"/>
        <w:bottom w:val="none" w:sz="0" w:space="0" w:color="auto"/>
        <w:right w:val="none" w:sz="0" w:space="0" w:color="auto"/>
      </w:divBdr>
    </w:div>
    <w:div w:id="725644276">
      <w:bodyDiv w:val="1"/>
      <w:marLeft w:val="0"/>
      <w:marRight w:val="0"/>
      <w:marTop w:val="0"/>
      <w:marBottom w:val="0"/>
      <w:divBdr>
        <w:top w:val="none" w:sz="0" w:space="0" w:color="auto"/>
        <w:left w:val="none" w:sz="0" w:space="0" w:color="auto"/>
        <w:bottom w:val="none" w:sz="0" w:space="0" w:color="auto"/>
        <w:right w:val="none" w:sz="0" w:space="0" w:color="auto"/>
      </w:divBdr>
    </w:div>
    <w:div w:id="796068827">
      <w:bodyDiv w:val="1"/>
      <w:marLeft w:val="0"/>
      <w:marRight w:val="0"/>
      <w:marTop w:val="0"/>
      <w:marBottom w:val="0"/>
      <w:divBdr>
        <w:top w:val="none" w:sz="0" w:space="0" w:color="auto"/>
        <w:left w:val="none" w:sz="0" w:space="0" w:color="auto"/>
        <w:bottom w:val="none" w:sz="0" w:space="0" w:color="auto"/>
        <w:right w:val="none" w:sz="0" w:space="0" w:color="auto"/>
      </w:divBdr>
    </w:div>
    <w:div w:id="930118552">
      <w:bodyDiv w:val="1"/>
      <w:marLeft w:val="0"/>
      <w:marRight w:val="0"/>
      <w:marTop w:val="0"/>
      <w:marBottom w:val="0"/>
      <w:divBdr>
        <w:top w:val="none" w:sz="0" w:space="0" w:color="auto"/>
        <w:left w:val="none" w:sz="0" w:space="0" w:color="auto"/>
        <w:bottom w:val="none" w:sz="0" w:space="0" w:color="auto"/>
        <w:right w:val="none" w:sz="0" w:space="0" w:color="auto"/>
      </w:divBdr>
    </w:div>
    <w:div w:id="1028482920">
      <w:bodyDiv w:val="1"/>
      <w:marLeft w:val="0"/>
      <w:marRight w:val="0"/>
      <w:marTop w:val="0"/>
      <w:marBottom w:val="0"/>
      <w:divBdr>
        <w:top w:val="none" w:sz="0" w:space="0" w:color="auto"/>
        <w:left w:val="none" w:sz="0" w:space="0" w:color="auto"/>
        <w:bottom w:val="none" w:sz="0" w:space="0" w:color="auto"/>
        <w:right w:val="none" w:sz="0" w:space="0" w:color="auto"/>
      </w:divBdr>
    </w:div>
    <w:div w:id="1177887176">
      <w:bodyDiv w:val="1"/>
      <w:marLeft w:val="0"/>
      <w:marRight w:val="0"/>
      <w:marTop w:val="0"/>
      <w:marBottom w:val="0"/>
      <w:divBdr>
        <w:top w:val="none" w:sz="0" w:space="0" w:color="auto"/>
        <w:left w:val="none" w:sz="0" w:space="0" w:color="auto"/>
        <w:bottom w:val="none" w:sz="0" w:space="0" w:color="auto"/>
        <w:right w:val="none" w:sz="0" w:space="0" w:color="auto"/>
      </w:divBdr>
    </w:div>
    <w:div w:id="1244953613">
      <w:bodyDiv w:val="1"/>
      <w:marLeft w:val="0"/>
      <w:marRight w:val="0"/>
      <w:marTop w:val="0"/>
      <w:marBottom w:val="0"/>
      <w:divBdr>
        <w:top w:val="none" w:sz="0" w:space="0" w:color="auto"/>
        <w:left w:val="none" w:sz="0" w:space="0" w:color="auto"/>
        <w:bottom w:val="none" w:sz="0" w:space="0" w:color="auto"/>
        <w:right w:val="none" w:sz="0" w:space="0" w:color="auto"/>
      </w:divBdr>
    </w:div>
    <w:div w:id="1475752115">
      <w:bodyDiv w:val="1"/>
      <w:marLeft w:val="0"/>
      <w:marRight w:val="0"/>
      <w:marTop w:val="0"/>
      <w:marBottom w:val="0"/>
      <w:divBdr>
        <w:top w:val="none" w:sz="0" w:space="0" w:color="auto"/>
        <w:left w:val="none" w:sz="0" w:space="0" w:color="auto"/>
        <w:bottom w:val="none" w:sz="0" w:space="0" w:color="auto"/>
        <w:right w:val="none" w:sz="0" w:space="0" w:color="auto"/>
      </w:divBdr>
    </w:div>
    <w:div w:id="1539782302">
      <w:bodyDiv w:val="1"/>
      <w:marLeft w:val="0"/>
      <w:marRight w:val="0"/>
      <w:marTop w:val="0"/>
      <w:marBottom w:val="0"/>
      <w:divBdr>
        <w:top w:val="none" w:sz="0" w:space="0" w:color="auto"/>
        <w:left w:val="none" w:sz="0" w:space="0" w:color="auto"/>
        <w:bottom w:val="none" w:sz="0" w:space="0" w:color="auto"/>
        <w:right w:val="none" w:sz="0" w:space="0" w:color="auto"/>
      </w:divBdr>
    </w:div>
    <w:div w:id="1603760234">
      <w:bodyDiv w:val="1"/>
      <w:marLeft w:val="0"/>
      <w:marRight w:val="0"/>
      <w:marTop w:val="0"/>
      <w:marBottom w:val="0"/>
      <w:divBdr>
        <w:top w:val="none" w:sz="0" w:space="0" w:color="auto"/>
        <w:left w:val="none" w:sz="0" w:space="0" w:color="auto"/>
        <w:bottom w:val="none" w:sz="0" w:space="0" w:color="auto"/>
        <w:right w:val="none" w:sz="0" w:space="0" w:color="auto"/>
      </w:divBdr>
    </w:div>
    <w:div w:id="1662269141">
      <w:bodyDiv w:val="1"/>
      <w:marLeft w:val="0"/>
      <w:marRight w:val="0"/>
      <w:marTop w:val="0"/>
      <w:marBottom w:val="0"/>
      <w:divBdr>
        <w:top w:val="none" w:sz="0" w:space="0" w:color="auto"/>
        <w:left w:val="none" w:sz="0" w:space="0" w:color="auto"/>
        <w:bottom w:val="none" w:sz="0" w:space="0" w:color="auto"/>
        <w:right w:val="none" w:sz="0" w:space="0" w:color="auto"/>
      </w:divBdr>
    </w:div>
    <w:div w:id="1773277479">
      <w:bodyDiv w:val="1"/>
      <w:marLeft w:val="0"/>
      <w:marRight w:val="0"/>
      <w:marTop w:val="0"/>
      <w:marBottom w:val="0"/>
      <w:divBdr>
        <w:top w:val="none" w:sz="0" w:space="0" w:color="auto"/>
        <w:left w:val="none" w:sz="0" w:space="0" w:color="auto"/>
        <w:bottom w:val="none" w:sz="0" w:space="0" w:color="auto"/>
        <w:right w:val="none" w:sz="0" w:space="0" w:color="auto"/>
      </w:divBdr>
    </w:div>
    <w:div w:id="1783527159">
      <w:bodyDiv w:val="1"/>
      <w:marLeft w:val="0"/>
      <w:marRight w:val="0"/>
      <w:marTop w:val="0"/>
      <w:marBottom w:val="0"/>
      <w:divBdr>
        <w:top w:val="none" w:sz="0" w:space="0" w:color="auto"/>
        <w:left w:val="none" w:sz="0" w:space="0" w:color="auto"/>
        <w:bottom w:val="none" w:sz="0" w:space="0" w:color="auto"/>
        <w:right w:val="none" w:sz="0" w:space="0" w:color="auto"/>
      </w:divBdr>
    </w:div>
    <w:div w:id="1789011423">
      <w:bodyDiv w:val="1"/>
      <w:marLeft w:val="0"/>
      <w:marRight w:val="0"/>
      <w:marTop w:val="0"/>
      <w:marBottom w:val="0"/>
      <w:divBdr>
        <w:top w:val="none" w:sz="0" w:space="0" w:color="auto"/>
        <w:left w:val="none" w:sz="0" w:space="0" w:color="auto"/>
        <w:bottom w:val="none" w:sz="0" w:space="0" w:color="auto"/>
        <w:right w:val="none" w:sz="0" w:space="0" w:color="auto"/>
      </w:divBdr>
    </w:div>
    <w:div w:id="21016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F12E-D8B5-4558-AA25-19BE6930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Harwood</dc:creator>
  <cp:lastModifiedBy>劉俊蘭</cp:lastModifiedBy>
  <cp:revision>196</cp:revision>
  <cp:lastPrinted>2018-08-17T02:59:00Z</cp:lastPrinted>
  <dcterms:created xsi:type="dcterms:W3CDTF">2018-08-09T05:34:00Z</dcterms:created>
  <dcterms:modified xsi:type="dcterms:W3CDTF">2018-08-21T01:42:00Z</dcterms:modified>
</cp:coreProperties>
</file>